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A935" w14:textId="39CCF2F0" w:rsidR="00EE5BCD" w:rsidRPr="00285C04" w:rsidRDefault="00EE5BCD" w:rsidP="0001082D">
      <w:pPr>
        <w:pStyle w:val="BorderTitle"/>
      </w:pPr>
      <w:r w:rsidRPr="00285C04">
        <w:t>TARGET MARKET DETERMINATION</w:t>
      </w:r>
    </w:p>
    <w:p w14:paraId="1033B335" w14:textId="6E7D3A8F" w:rsidR="00FF2736" w:rsidRPr="00A40B76" w:rsidRDefault="00301C89" w:rsidP="00A40B76">
      <w:pPr>
        <w:pStyle w:val="BodyText"/>
        <w:ind w:left="1695" w:hanging="1695"/>
        <w:rPr>
          <w:b/>
        </w:rPr>
      </w:pPr>
      <w:r w:rsidRPr="007E366D">
        <w:rPr>
          <w:b/>
        </w:rPr>
        <w:t>Made</w:t>
      </w:r>
      <w:r w:rsidRPr="0072634D">
        <w:rPr>
          <w:b/>
        </w:rPr>
        <w:t xml:space="preserve"> </w:t>
      </w:r>
      <w:r w:rsidRPr="007E366D">
        <w:rPr>
          <w:b/>
        </w:rPr>
        <w:t>by:</w:t>
      </w:r>
      <w:r w:rsidR="00A40B76">
        <w:rPr>
          <w:b/>
        </w:rPr>
        <w:t xml:space="preserve">            </w:t>
      </w:r>
      <w:r w:rsidR="00A40B76">
        <w:t>Memphasys Limited (ACN 120 047 556)</w:t>
      </w:r>
      <w:r w:rsidR="00A40B76" w:rsidRPr="007E366D">
        <w:t xml:space="preserve"> </w:t>
      </w:r>
      <w:r w:rsidR="00A40B76">
        <w:t xml:space="preserve">of 30 Richmond Road Homebush </w:t>
      </w:r>
      <w:r w:rsidR="00A40B76" w:rsidRPr="00A40B76">
        <w:t xml:space="preserve">West, NSW 2140 </w:t>
      </w:r>
      <w:r w:rsidRPr="00A40B76">
        <w:t>(</w:t>
      </w:r>
      <w:r w:rsidRPr="00A40B76">
        <w:rPr>
          <w:b/>
        </w:rPr>
        <w:t>Company</w:t>
      </w:r>
      <w:r w:rsidRPr="00A40B76">
        <w:t>)</w:t>
      </w:r>
    </w:p>
    <w:p w14:paraId="2A6EC2CF" w14:textId="5B937C26" w:rsidR="00FF2736" w:rsidRPr="00A40B76" w:rsidRDefault="00301C89" w:rsidP="004A18F1">
      <w:pPr>
        <w:pStyle w:val="BodyText"/>
        <w:ind w:left="1695" w:hanging="1695"/>
      </w:pPr>
      <w:r w:rsidRPr="00A40B76">
        <w:rPr>
          <w:b/>
        </w:rPr>
        <w:t>Product:</w:t>
      </w:r>
      <w:r w:rsidR="00EE5BCD" w:rsidRPr="00A40B76">
        <w:rPr>
          <w:b/>
        </w:rPr>
        <w:t xml:space="preserve"> </w:t>
      </w:r>
      <w:r w:rsidRPr="00A40B76">
        <w:rPr>
          <w:b/>
        </w:rPr>
        <w:tab/>
      </w:r>
      <w:r w:rsidR="004A18F1" w:rsidRPr="00A40B76">
        <w:rPr>
          <w:bCs/>
        </w:rPr>
        <w:t xml:space="preserve">Free attaching options </w:t>
      </w:r>
      <w:r w:rsidRPr="00A40B76">
        <w:t xml:space="preserve">in </w:t>
      </w:r>
      <w:r w:rsidR="004A18F1" w:rsidRPr="00A40B76">
        <w:t>connection with</w:t>
      </w:r>
      <w:r w:rsidR="00A40B76">
        <w:t xml:space="preserve"> the</w:t>
      </w:r>
      <w:r w:rsidR="00484E91">
        <w:t xml:space="preserve"> underwritten</w:t>
      </w:r>
      <w:r w:rsidR="00A40B76">
        <w:t xml:space="preserve"> </w:t>
      </w:r>
      <w:r w:rsidR="001767AC" w:rsidRPr="00A40B76">
        <w:t>non-renounceable</w:t>
      </w:r>
      <w:r w:rsidR="00A40B76">
        <w:t xml:space="preserve"> </w:t>
      </w:r>
      <w:r w:rsidR="004A18F1" w:rsidRPr="00A40B76">
        <w:t xml:space="preserve">entitlement </w:t>
      </w:r>
      <w:r w:rsidR="00A40B76">
        <w:t xml:space="preserve">offer </w:t>
      </w:r>
      <w:r w:rsidRPr="00A40B76">
        <w:t>under a prospectus dated</w:t>
      </w:r>
      <w:r w:rsidR="004A18F1" w:rsidRPr="00A40B76">
        <w:t xml:space="preserve"> </w:t>
      </w:r>
      <w:r w:rsidR="00484E91">
        <w:t>4 December</w:t>
      </w:r>
      <w:r w:rsidR="00A40B76">
        <w:t xml:space="preserve"> 2023 </w:t>
      </w:r>
      <w:r w:rsidR="00A40B76" w:rsidRPr="00A40B76">
        <w:t>(</w:t>
      </w:r>
      <w:r w:rsidR="00484E91" w:rsidRPr="00484E91">
        <w:rPr>
          <w:b/>
          <w:bCs/>
        </w:rPr>
        <w:t>New</w:t>
      </w:r>
      <w:r w:rsidR="00484E91">
        <w:t xml:space="preserve"> </w:t>
      </w:r>
      <w:r w:rsidR="004A18F1" w:rsidRPr="00A40B76">
        <w:rPr>
          <w:b/>
          <w:bCs/>
        </w:rPr>
        <w:t>Options</w:t>
      </w:r>
      <w:r w:rsidRPr="00A40B76">
        <w:t>)</w:t>
      </w:r>
    </w:p>
    <w:p w14:paraId="76344EC5" w14:textId="11E0D628" w:rsidR="00FF2736" w:rsidRPr="007E366D" w:rsidRDefault="00301C89" w:rsidP="00EE5BCD">
      <w:pPr>
        <w:pStyle w:val="BodyText"/>
      </w:pPr>
      <w:r w:rsidRPr="00A40B76">
        <w:rPr>
          <w:b/>
        </w:rPr>
        <w:t>Effective date:</w:t>
      </w:r>
      <w:r w:rsidRPr="00A40B76">
        <w:rPr>
          <w:b/>
        </w:rPr>
        <w:tab/>
      </w:r>
      <w:r w:rsidR="00484E91">
        <w:t>4 December</w:t>
      </w:r>
      <w:r w:rsidR="00A40B76">
        <w:t xml:space="preserve"> 202</w:t>
      </w:r>
      <w:r w:rsidR="008C21D0">
        <w:t>3</w:t>
      </w:r>
    </w:p>
    <w:p w14:paraId="0FEB39F7" w14:textId="6497A465" w:rsidR="00A40B76" w:rsidRDefault="00301C89" w:rsidP="00A40B76">
      <w:pPr>
        <w:keepNext/>
        <w:spacing w:after="0"/>
      </w:pPr>
      <w:r w:rsidRPr="007E366D">
        <w:t>This target market determination (</w:t>
      </w:r>
      <w:r w:rsidRPr="007E366D">
        <w:rPr>
          <w:b/>
        </w:rPr>
        <w:t>TMD</w:t>
      </w:r>
      <w:r w:rsidRPr="007E366D">
        <w:t xml:space="preserve">) has been prepared by the Company in relation to an offer to issue the </w:t>
      </w:r>
      <w:r w:rsidR="00484E91">
        <w:t xml:space="preserve">New </w:t>
      </w:r>
      <w:r w:rsidR="004A18F1" w:rsidRPr="007E366D">
        <w:t xml:space="preserve">Options </w:t>
      </w:r>
      <w:r w:rsidRPr="007E366D">
        <w:t xml:space="preserve">made by </w:t>
      </w:r>
      <w:r w:rsidR="00947273" w:rsidRPr="007E366D">
        <w:t xml:space="preserve">the Company </w:t>
      </w:r>
      <w:r w:rsidRPr="007E366D">
        <w:t>under</w:t>
      </w:r>
      <w:r w:rsidRPr="0072634D">
        <w:t xml:space="preserve"> </w:t>
      </w:r>
      <w:r w:rsidRPr="007E366D">
        <w:t>a</w:t>
      </w:r>
      <w:r w:rsidRPr="0072634D">
        <w:t xml:space="preserve"> </w:t>
      </w:r>
      <w:r w:rsidRPr="007E366D">
        <w:t>prospectus</w:t>
      </w:r>
      <w:r w:rsidRPr="0072634D">
        <w:t xml:space="preserve"> </w:t>
      </w:r>
      <w:r w:rsidRPr="007E366D">
        <w:t xml:space="preserve">dated </w:t>
      </w:r>
      <w:r w:rsidR="00484E91">
        <w:t>4 December 2023</w:t>
      </w:r>
      <w:r w:rsidR="00A40B76">
        <w:t xml:space="preserve"> </w:t>
      </w:r>
      <w:r w:rsidRPr="007E366D">
        <w:t>(</w:t>
      </w:r>
      <w:r w:rsidRPr="007E366D">
        <w:rPr>
          <w:b/>
        </w:rPr>
        <w:t>Prospectus</w:t>
      </w:r>
      <w:r w:rsidRPr="007E366D">
        <w:t>).</w:t>
      </w:r>
      <w:r w:rsidRPr="0072634D">
        <w:t xml:space="preserve"> </w:t>
      </w:r>
      <w:r w:rsidRPr="007E366D">
        <w:t>A</w:t>
      </w:r>
      <w:r w:rsidRPr="0072634D">
        <w:t xml:space="preserve"> </w:t>
      </w:r>
      <w:r w:rsidRPr="007E366D">
        <w:t>copy</w:t>
      </w:r>
      <w:r w:rsidRPr="0072634D">
        <w:t xml:space="preserve"> </w:t>
      </w:r>
      <w:r w:rsidRPr="007E366D">
        <w:t>of</w:t>
      </w:r>
      <w:r w:rsidR="00285C04" w:rsidRPr="007E366D">
        <w:t xml:space="preserve"> </w:t>
      </w:r>
      <w:r w:rsidRPr="007E366D">
        <w:t xml:space="preserve">the Prospectus is available on the Company’s </w:t>
      </w:r>
      <w:r w:rsidRPr="00A40B76">
        <w:rPr>
          <w:szCs w:val="21"/>
        </w:rPr>
        <w:t xml:space="preserve">website, </w:t>
      </w:r>
      <w:hyperlink r:id="rId8" w:history="1">
        <w:r w:rsidR="00A40B76" w:rsidRPr="00A40B76">
          <w:rPr>
            <w:rStyle w:val="Hyperlink"/>
            <w:szCs w:val="21"/>
          </w:rPr>
          <w:t>www.memphasys.com</w:t>
        </w:r>
      </w:hyperlink>
      <w:r w:rsidRPr="007E366D">
        <w:t>.</w:t>
      </w:r>
      <w:r w:rsidR="00A40B76">
        <w:t xml:space="preserve"> </w:t>
      </w:r>
    </w:p>
    <w:p w14:paraId="4ECABDFC" w14:textId="77777777" w:rsidR="00A40B76" w:rsidRPr="0072634D" w:rsidRDefault="00A40B76" w:rsidP="00A40B76">
      <w:pPr>
        <w:keepNext/>
        <w:spacing w:after="0"/>
      </w:pPr>
    </w:p>
    <w:p w14:paraId="222CBCE4" w14:textId="1579588B" w:rsidR="00FF2736" w:rsidRPr="007E366D" w:rsidRDefault="00301C89" w:rsidP="00285C04">
      <w:pPr>
        <w:pStyle w:val="BodyText"/>
      </w:pPr>
      <w:r w:rsidRPr="007E366D">
        <w:t xml:space="preserve">The offer will be made under, or accompanied by, a copy of the Prospectus. Any recipient of this TMD should carefully read and consider the Prospectus in full and consult their professional adviser if they have any questions regarding the contents of the Prospectus. Any recipient of this TMD who wants to acquire </w:t>
      </w:r>
      <w:r w:rsidR="00484E91">
        <w:t xml:space="preserve">New </w:t>
      </w:r>
      <w:r w:rsidR="00F07379" w:rsidRPr="007E366D">
        <w:t>Options</w:t>
      </w:r>
      <w:r w:rsidRPr="007E366D">
        <w:t xml:space="preserve"> under the offer will need to complete the application form that will be in, or will accompany, the Prospectus. There is no cooling off period in respect of the issue of the </w:t>
      </w:r>
      <w:r w:rsidR="00484E91">
        <w:t xml:space="preserve">New </w:t>
      </w:r>
      <w:r w:rsidR="00F07379" w:rsidRPr="007E366D">
        <w:t>Options</w:t>
      </w:r>
      <w:r w:rsidRPr="007E366D">
        <w:t xml:space="preserve">. This TMD is not a disclosure document for the purposes of the </w:t>
      </w:r>
      <w:r w:rsidRPr="007E366D">
        <w:rPr>
          <w:i/>
        </w:rPr>
        <w:t xml:space="preserve">Corporations Act 2001 </w:t>
      </w:r>
      <w:r w:rsidRPr="007E366D">
        <w:t>(Cth), and therefore has not been lodged, and does not require lodgement, with the Australian Securities and Investments Commission (</w:t>
      </w:r>
      <w:r w:rsidRPr="007E366D">
        <w:rPr>
          <w:b/>
        </w:rPr>
        <w:t>ASIC</w:t>
      </w:r>
      <w:r w:rsidRPr="007E366D">
        <w:t>)</w:t>
      </w:r>
      <w:r w:rsidR="00422E3B" w:rsidRPr="007E366D">
        <w:t xml:space="preserve"> nor does it contain a full summary of the terms and conditions</w:t>
      </w:r>
      <w:r w:rsidR="00143D4D" w:rsidRPr="007E366D">
        <w:t xml:space="preserve"> of the </w:t>
      </w:r>
      <w:r w:rsidR="00484E91">
        <w:t xml:space="preserve">New </w:t>
      </w:r>
      <w:r w:rsidR="00143D4D" w:rsidRPr="007E366D">
        <w:t>Options</w:t>
      </w:r>
      <w:r w:rsidR="00484E91">
        <w:t>.</w:t>
      </w:r>
    </w:p>
    <w:p w14:paraId="10943D49" w14:textId="6B467E19" w:rsidR="00FF2736" w:rsidRPr="007E366D" w:rsidRDefault="00301C89" w:rsidP="00451335">
      <w:r w:rsidRPr="007E366D">
        <w:t>This TMD does not take into account what you currently have, or what you want and need</w:t>
      </w:r>
      <w:r w:rsidR="00947273" w:rsidRPr="007E366D">
        <w:t>,</w:t>
      </w:r>
      <w:r w:rsidRPr="007E366D">
        <w:t xml:space="preserve"> for your financial future. It is important for you to consider these matters and read the Prospectus before you make an investment decision. The Company is not licensed to provide financial product advice in relation to the </w:t>
      </w:r>
      <w:r w:rsidR="00484E91">
        <w:t xml:space="preserve">New </w:t>
      </w:r>
      <w:r w:rsidR="00F07379" w:rsidRPr="007E366D">
        <w:t>Options</w:t>
      </w:r>
      <w:r w:rsidRPr="007E366D">
        <w:t>.</w:t>
      </w:r>
    </w:p>
    <w:p w14:paraId="35D881E7" w14:textId="3B6979ED" w:rsidR="001767AC" w:rsidRPr="007E366D" w:rsidRDefault="00301C89" w:rsidP="00A40B76">
      <w:pPr>
        <w:pStyle w:val="Heading1"/>
      </w:pPr>
      <w:bookmarkStart w:id="0" w:name="_Toc83885359"/>
      <w:bookmarkStart w:id="1" w:name="_Toc83886624"/>
      <w:r w:rsidRPr="007E366D">
        <w:t>Target</w:t>
      </w:r>
      <w:r w:rsidRPr="0072634D">
        <w:t xml:space="preserve"> </w:t>
      </w:r>
      <w:r w:rsidRPr="007E366D">
        <w:t>Market</w:t>
      </w:r>
      <w:bookmarkEnd w:id="0"/>
      <w:bookmarkEnd w:id="1"/>
    </w:p>
    <w:tbl>
      <w:tblPr>
        <w:tblW w:w="4631" w:type="pct"/>
        <w:tblInd w:w="8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right w:w="0" w:type="dxa"/>
        </w:tblCellMar>
        <w:tblLook w:val="01E0" w:firstRow="1" w:lastRow="1" w:firstColumn="1" w:lastColumn="1" w:noHBand="0" w:noVBand="0"/>
      </w:tblPr>
      <w:tblGrid>
        <w:gridCol w:w="2268"/>
        <w:gridCol w:w="6094"/>
      </w:tblGrid>
      <w:tr w:rsidR="00FF2736" w:rsidRPr="007E366D" w14:paraId="769A41B1" w14:textId="77777777" w:rsidTr="005E2495">
        <w:trPr>
          <w:trHeight w:val="501"/>
        </w:trPr>
        <w:tc>
          <w:tcPr>
            <w:tcW w:w="1356" w:type="pct"/>
            <w:shd w:val="clear" w:color="auto" w:fill="17365D"/>
            <w:vAlign w:val="center"/>
          </w:tcPr>
          <w:p w14:paraId="69E8FE6C" w14:textId="77777777"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color w:val="FFFFFF"/>
                <w:szCs w:val="21"/>
              </w:rPr>
              <w:t>Factor</w:t>
            </w:r>
          </w:p>
        </w:tc>
        <w:tc>
          <w:tcPr>
            <w:tcW w:w="3644" w:type="pct"/>
            <w:shd w:val="clear" w:color="auto" w:fill="17365D"/>
            <w:vAlign w:val="center"/>
          </w:tcPr>
          <w:p w14:paraId="2A7571C4" w14:textId="77777777" w:rsidR="00FF2736" w:rsidRPr="007E366D" w:rsidRDefault="00301C89" w:rsidP="00285C04">
            <w:pPr>
              <w:pStyle w:val="TableParagraph"/>
              <w:spacing w:before="60" w:after="60"/>
              <w:jc w:val="left"/>
              <w:rPr>
                <w:rFonts w:ascii="Century Gothic" w:hAnsi="Century Gothic"/>
                <w:b/>
                <w:szCs w:val="21"/>
              </w:rPr>
            </w:pPr>
            <w:r w:rsidRPr="007E366D">
              <w:rPr>
                <w:rFonts w:ascii="Century Gothic" w:hAnsi="Century Gothic"/>
                <w:b/>
                <w:color w:val="FFFFFF"/>
                <w:szCs w:val="21"/>
              </w:rPr>
              <w:t>Target</w:t>
            </w:r>
            <w:r w:rsidRPr="0072634D">
              <w:rPr>
                <w:rFonts w:ascii="Century Gothic" w:hAnsi="Century Gothic"/>
                <w:b/>
                <w:color w:val="FFFFFF"/>
                <w:szCs w:val="21"/>
              </w:rPr>
              <w:t xml:space="preserve"> </w:t>
            </w:r>
            <w:r w:rsidRPr="007E366D">
              <w:rPr>
                <w:rFonts w:ascii="Century Gothic" w:hAnsi="Century Gothic"/>
                <w:b/>
                <w:color w:val="FFFFFF"/>
                <w:szCs w:val="21"/>
              </w:rPr>
              <w:t>market</w:t>
            </w:r>
          </w:p>
        </w:tc>
      </w:tr>
      <w:tr w:rsidR="00FF2736" w:rsidRPr="007E366D" w14:paraId="2DB0060E" w14:textId="77777777" w:rsidTr="005E2495">
        <w:trPr>
          <w:trHeight w:val="1278"/>
        </w:trPr>
        <w:tc>
          <w:tcPr>
            <w:tcW w:w="1356" w:type="pct"/>
            <w:shd w:val="clear" w:color="auto" w:fill="F2F2F2" w:themeFill="background1" w:themeFillShade="F2"/>
          </w:tcPr>
          <w:p w14:paraId="16D72D2C" w14:textId="377D5C5F" w:rsidR="00FF2736" w:rsidRPr="00A40B76" w:rsidRDefault="00301C89" w:rsidP="00285C04">
            <w:pPr>
              <w:pStyle w:val="TableParagraph"/>
              <w:spacing w:before="60" w:after="60"/>
              <w:ind w:left="113"/>
              <w:jc w:val="left"/>
              <w:rPr>
                <w:rFonts w:ascii="Century Gothic" w:hAnsi="Century Gothic"/>
                <w:b/>
                <w:szCs w:val="21"/>
              </w:rPr>
            </w:pPr>
            <w:r w:rsidRPr="00A40B76">
              <w:rPr>
                <w:rFonts w:ascii="Century Gothic" w:hAnsi="Century Gothic"/>
                <w:b/>
                <w:szCs w:val="21"/>
              </w:rPr>
              <w:t>Investment</w:t>
            </w:r>
            <w:r w:rsidR="00285C04" w:rsidRPr="00A40B76">
              <w:rPr>
                <w:rFonts w:ascii="Century Gothic" w:hAnsi="Century Gothic"/>
                <w:b/>
                <w:szCs w:val="21"/>
              </w:rPr>
              <w:t xml:space="preserve"> Objective</w:t>
            </w:r>
          </w:p>
        </w:tc>
        <w:tc>
          <w:tcPr>
            <w:tcW w:w="3644" w:type="pct"/>
            <w:shd w:val="clear" w:color="auto" w:fill="F2F2F2" w:themeFill="background1" w:themeFillShade="F2"/>
          </w:tcPr>
          <w:p w14:paraId="57ECACDA" w14:textId="09129613" w:rsidR="00FF2736" w:rsidRPr="00A40B76" w:rsidRDefault="00301C89" w:rsidP="00DB0ECD">
            <w:pPr>
              <w:pStyle w:val="TableParagraph"/>
              <w:spacing w:before="60" w:after="60"/>
              <w:ind w:right="320"/>
              <w:rPr>
                <w:rFonts w:ascii="Century Gothic" w:hAnsi="Century Gothic"/>
                <w:szCs w:val="21"/>
              </w:rPr>
            </w:pPr>
            <w:r w:rsidRPr="00A40B76">
              <w:rPr>
                <w:rFonts w:ascii="Century Gothic" w:hAnsi="Century Gothic"/>
                <w:szCs w:val="21"/>
              </w:rPr>
              <w:t>The Company expects that an investment in</w:t>
            </w:r>
            <w:r w:rsidR="00484E91">
              <w:t xml:space="preserve"> </w:t>
            </w:r>
            <w:r w:rsidR="00484E91" w:rsidRPr="00484E91">
              <w:rPr>
                <w:rFonts w:ascii="Century Gothic" w:hAnsi="Century Gothic"/>
                <w:szCs w:val="21"/>
              </w:rPr>
              <w:t>New</w:t>
            </w:r>
            <w:r w:rsidRPr="00A40B76">
              <w:rPr>
                <w:rFonts w:ascii="Century Gothic" w:hAnsi="Century Gothic"/>
                <w:szCs w:val="21"/>
              </w:rPr>
              <w:t xml:space="preserve"> </w:t>
            </w:r>
            <w:r w:rsidR="00F07379" w:rsidRPr="00A40B76">
              <w:rPr>
                <w:rFonts w:ascii="Century Gothic" w:hAnsi="Century Gothic"/>
                <w:szCs w:val="21"/>
              </w:rPr>
              <w:t>Options</w:t>
            </w:r>
            <w:r w:rsidRPr="00A40B76">
              <w:rPr>
                <w:rFonts w:ascii="Century Gothic" w:hAnsi="Century Gothic"/>
                <w:szCs w:val="21"/>
              </w:rPr>
              <w:t xml:space="preserve"> will be suitable to investors who wish to gain exposure to</w:t>
            </w:r>
            <w:r w:rsidR="00DB0ECD" w:rsidRPr="00A40B76">
              <w:rPr>
                <w:rFonts w:ascii="Century Gothic" w:hAnsi="Century Gothic"/>
                <w:szCs w:val="21"/>
              </w:rPr>
              <w:t xml:space="preserve"> equities in</w:t>
            </w:r>
            <w:r w:rsidR="0079530F" w:rsidRPr="00A40B76">
              <w:rPr>
                <w:rFonts w:ascii="Century Gothic" w:hAnsi="Century Gothic"/>
                <w:szCs w:val="21"/>
              </w:rPr>
              <w:t xml:space="preserve"> </w:t>
            </w:r>
            <w:r w:rsidRPr="00A40B76">
              <w:rPr>
                <w:rFonts w:ascii="Century Gothic" w:hAnsi="Century Gothic"/>
                <w:szCs w:val="21"/>
              </w:rPr>
              <w:t xml:space="preserve">a </w:t>
            </w:r>
            <w:r w:rsidR="00947273" w:rsidRPr="00A40B76">
              <w:rPr>
                <w:rFonts w:ascii="Century Gothic" w:hAnsi="Century Gothic"/>
                <w:szCs w:val="21"/>
              </w:rPr>
              <w:t>small/</w:t>
            </w:r>
            <w:r w:rsidR="00DB0ECD" w:rsidRPr="00A40B76">
              <w:rPr>
                <w:rFonts w:ascii="Century Gothic" w:hAnsi="Century Gothic"/>
                <w:szCs w:val="21"/>
              </w:rPr>
              <w:t>mid-ca</w:t>
            </w:r>
            <w:r w:rsidR="00A40B76" w:rsidRPr="00A40B76">
              <w:rPr>
                <w:rFonts w:ascii="Century Gothic" w:hAnsi="Century Gothic"/>
                <w:szCs w:val="21"/>
              </w:rPr>
              <w:t xml:space="preserve">p </w:t>
            </w:r>
            <w:r w:rsidR="00A40B76" w:rsidRPr="00D406CF">
              <w:rPr>
                <w:rFonts w:ascii="Century Gothic" w:hAnsi="Century Gothic"/>
                <w:szCs w:val="21"/>
              </w:rPr>
              <w:t>biotech</w:t>
            </w:r>
            <w:r w:rsidR="00DB0ECD" w:rsidRPr="00D406CF">
              <w:rPr>
                <w:rFonts w:ascii="Century Gothic" w:hAnsi="Century Gothic"/>
                <w:szCs w:val="21"/>
              </w:rPr>
              <w:t xml:space="preserve"> </w:t>
            </w:r>
            <w:r w:rsidR="00A40B76" w:rsidRPr="00D406CF">
              <w:rPr>
                <w:rFonts w:ascii="Century Gothic" w:hAnsi="Century Gothic"/>
                <w:szCs w:val="21"/>
              </w:rPr>
              <w:t>c</w:t>
            </w:r>
            <w:r w:rsidR="00DB0ECD" w:rsidRPr="00D406CF">
              <w:rPr>
                <w:rFonts w:ascii="Century Gothic" w:hAnsi="Century Gothic"/>
                <w:szCs w:val="21"/>
              </w:rPr>
              <w:t>ompany list</w:t>
            </w:r>
            <w:r w:rsidR="00DB0ECD" w:rsidRPr="00A40B76">
              <w:rPr>
                <w:rFonts w:ascii="Century Gothic" w:hAnsi="Century Gothic"/>
                <w:szCs w:val="21"/>
              </w:rPr>
              <w:t>ed on the Australian Securities Exchange</w:t>
            </w:r>
            <w:r w:rsidR="00947273" w:rsidRPr="00A40B76">
              <w:rPr>
                <w:rFonts w:ascii="Century Gothic" w:hAnsi="Century Gothic"/>
                <w:szCs w:val="21"/>
              </w:rPr>
              <w:t xml:space="preserve"> (</w:t>
            </w:r>
            <w:r w:rsidR="00947273" w:rsidRPr="00A40B76">
              <w:rPr>
                <w:rFonts w:ascii="Century Gothic" w:hAnsi="Century Gothic"/>
                <w:b/>
                <w:bCs/>
                <w:szCs w:val="21"/>
              </w:rPr>
              <w:t>ASX</w:t>
            </w:r>
            <w:r w:rsidR="00947273" w:rsidRPr="00A40B76">
              <w:rPr>
                <w:rFonts w:ascii="Century Gothic" w:hAnsi="Century Gothic"/>
                <w:szCs w:val="21"/>
              </w:rPr>
              <w:t>)</w:t>
            </w:r>
            <w:r w:rsidRPr="00A40B76">
              <w:rPr>
                <w:rFonts w:ascii="Century Gothic" w:hAnsi="Century Gothic"/>
                <w:szCs w:val="21"/>
              </w:rPr>
              <w:t>.</w:t>
            </w:r>
          </w:p>
        </w:tc>
      </w:tr>
      <w:tr w:rsidR="00FF2736" w:rsidRPr="007E366D" w14:paraId="772823D7" w14:textId="77777777" w:rsidTr="00A40B76">
        <w:trPr>
          <w:trHeight w:val="664"/>
        </w:trPr>
        <w:tc>
          <w:tcPr>
            <w:tcW w:w="1356" w:type="pct"/>
            <w:shd w:val="clear" w:color="auto" w:fill="F2F2F2" w:themeFill="background1" w:themeFillShade="F2"/>
          </w:tcPr>
          <w:p w14:paraId="54E51F47" w14:textId="57BAE813"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szCs w:val="21"/>
              </w:rPr>
              <w:t>Investment</w:t>
            </w:r>
            <w:r w:rsidRPr="0072634D">
              <w:rPr>
                <w:rFonts w:ascii="Century Gothic" w:hAnsi="Century Gothic"/>
                <w:b/>
                <w:szCs w:val="21"/>
              </w:rPr>
              <w:t xml:space="preserve"> </w:t>
            </w:r>
            <w:r w:rsidR="00285C04" w:rsidRPr="007E366D">
              <w:rPr>
                <w:rFonts w:ascii="Century Gothic" w:hAnsi="Century Gothic"/>
                <w:b/>
                <w:szCs w:val="21"/>
              </w:rPr>
              <w:t>Timeframe</w:t>
            </w:r>
          </w:p>
        </w:tc>
        <w:tc>
          <w:tcPr>
            <w:tcW w:w="3644" w:type="pct"/>
            <w:shd w:val="clear" w:color="auto" w:fill="F2F2F2" w:themeFill="background1" w:themeFillShade="F2"/>
          </w:tcPr>
          <w:p w14:paraId="4D00FB98" w14:textId="6F78F5A0" w:rsidR="00947273" w:rsidRPr="00D406CF" w:rsidRDefault="00301C89" w:rsidP="00DB0ECD">
            <w:pPr>
              <w:pStyle w:val="TableParagraph"/>
              <w:spacing w:before="60" w:after="60"/>
              <w:ind w:right="320"/>
              <w:rPr>
                <w:rFonts w:ascii="Century Gothic" w:hAnsi="Century Gothic"/>
                <w:szCs w:val="21"/>
              </w:rPr>
            </w:pPr>
            <w:r w:rsidRPr="007E366D">
              <w:rPr>
                <w:rFonts w:ascii="Century Gothic" w:hAnsi="Century Gothic"/>
                <w:szCs w:val="21"/>
              </w:rPr>
              <w:t>The targ</w:t>
            </w:r>
            <w:r w:rsidRPr="00A40B76">
              <w:rPr>
                <w:rFonts w:ascii="Century Gothic" w:hAnsi="Century Gothic"/>
                <w:szCs w:val="21"/>
              </w:rPr>
              <w:t xml:space="preserve">et market of investors will take a </w:t>
            </w:r>
            <w:r w:rsidR="00947273" w:rsidRPr="00A40B76">
              <w:rPr>
                <w:rFonts w:ascii="Century Gothic" w:hAnsi="Century Gothic"/>
                <w:szCs w:val="21"/>
              </w:rPr>
              <w:t xml:space="preserve">short to </w:t>
            </w:r>
            <w:r w:rsidR="00344748" w:rsidRPr="00A40B76">
              <w:rPr>
                <w:rFonts w:ascii="Century Gothic" w:hAnsi="Century Gothic"/>
                <w:szCs w:val="21"/>
              </w:rPr>
              <w:t>medium</w:t>
            </w:r>
            <w:r w:rsidRPr="00A40B76">
              <w:rPr>
                <w:rFonts w:ascii="Century Gothic" w:hAnsi="Century Gothic"/>
                <w:szCs w:val="21"/>
              </w:rPr>
              <w:t xml:space="preserve"> term</w:t>
            </w:r>
            <w:r w:rsidRPr="007E366D">
              <w:rPr>
                <w:rFonts w:ascii="Century Gothic" w:hAnsi="Century Gothic"/>
                <w:szCs w:val="21"/>
              </w:rPr>
              <w:t xml:space="preserve"> outlook on their investment</w:t>
            </w:r>
            <w:r w:rsidR="00947273" w:rsidRPr="007E366D">
              <w:rPr>
                <w:rFonts w:ascii="Century Gothic" w:hAnsi="Century Gothic"/>
                <w:szCs w:val="21"/>
              </w:rPr>
              <w:t>.</w:t>
            </w:r>
            <w:r w:rsidRPr="007E366D">
              <w:rPr>
                <w:rFonts w:ascii="Century Gothic" w:hAnsi="Century Gothic"/>
                <w:szCs w:val="21"/>
              </w:rPr>
              <w:t xml:space="preserve"> </w:t>
            </w:r>
            <w:r w:rsidR="00947273" w:rsidRPr="007E366D">
              <w:rPr>
                <w:rFonts w:ascii="Century Gothic" w:hAnsi="Century Gothic"/>
                <w:szCs w:val="21"/>
              </w:rPr>
              <w:t xml:space="preserve">Investors with a short-term outlook for their investment will benefit from an ability to exercise </w:t>
            </w:r>
            <w:r w:rsidR="00484E91" w:rsidRPr="00484E91">
              <w:rPr>
                <w:rFonts w:ascii="Century Gothic" w:hAnsi="Century Gothic"/>
                <w:szCs w:val="21"/>
              </w:rPr>
              <w:t xml:space="preserve">New </w:t>
            </w:r>
            <w:r w:rsidR="006A0233" w:rsidRPr="007E366D">
              <w:rPr>
                <w:rFonts w:ascii="Century Gothic" w:hAnsi="Century Gothic"/>
                <w:szCs w:val="21"/>
              </w:rPr>
              <w:t>O</w:t>
            </w:r>
            <w:r w:rsidR="00947273" w:rsidRPr="007E366D">
              <w:rPr>
                <w:rFonts w:ascii="Century Gothic" w:hAnsi="Century Gothic"/>
                <w:szCs w:val="21"/>
              </w:rPr>
              <w:t xml:space="preserve">ptions and trade the underlying </w:t>
            </w:r>
            <w:r w:rsidR="006A0233" w:rsidRPr="007E366D">
              <w:rPr>
                <w:rFonts w:ascii="Century Gothic" w:hAnsi="Century Gothic"/>
                <w:szCs w:val="21"/>
              </w:rPr>
              <w:t>S</w:t>
            </w:r>
            <w:r w:rsidR="00947273" w:rsidRPr="007E366D">
              <w:rPr>
                <w:rFonts w:ascii="Century Gothic" w:hAnsi="Century Gothic"/>
                <w:szCs w:val="21"/>
              </w:rPr>
              <w:t xml:space="preserve">hares issued on exercise should the exercise price </w:t>
            </w:r>
            <w:r w:rsidR="006A0233" w:rsidRPr="007E366D">
              <w:rPr>
                <w:rFonts w:ascii="Century Gothic" w:hAnsi="Century Gothic"/>
                <w:szCs w:val="21"/>
              </w:rPr>
              <w:t xml:space="preserve">of the </w:t>
            </w:r>
            <w:r w:rsidR="00484E91" w:rsidRPr="00484E91">
              <w:rPr>
                <w:rFonts w:ascii="Century Gothic" w:hAnsi="Century Gothic"/>
                <w:szCs w:val="21"/>
              </w:rPr>
              <w:t xml:space="preserve">New </w:t>
            </w:r>
            <w:r w:rsidR="006A0233" w:rsidRPr="007E366D">
              <w:rPr>
                <w:rFonts w:ascii="Century Gothic" w:hAnsi="Century Gothic"/>
                <w:szCs w:val="21"/>
              </w:rPr>
              <w:t xml:space="preserve">Options </w:t>
            </w:r>
            <w:r w:rsidR="00947273" w:rsidRPr="007E366D">
              <w:rPr>
                <w:rFonts w:ascii="Century Gothic" w:hAnsi="Century Gothic"/>
                <w:szCs w:val="21"/>
              </w:rPr>
              <w:t xml:space="preserve">be lower than the trading price of </w:t>
            </w:r>
            <w:r w:rsidR="006A0233" w:rsidRPr="007E366D">
              <w:rPr>
                <w:rFonts w:ascii="Century Gothic" w:hAnsi="Century Gothic"/>
                <w:szCs w:val="21"/>
              </w:rPr>
              <w:t>S</w:t>
            </w:r>
            <w:r w:rsidR="00947273" w:rsidRPr="007E366D">
              <w:rPr>
                <w:rFonts w:ascii="Century Gothic" w:hAnsi="Century Gothic"/>
                <w:szCs w:val="21"/>
              </w:rPr>
              <w:t xml:space="preserve">hares. Investors with a medium-term outlook will benefit from an ability to exercise </w:t>
            </w:r>
            <w:r w:rsidR="00576681" w:rsidRPr="007E366D">
              <w:rPr>
                <w:rFonts w:ascii="Century Gothic" w:hAnsi="Century Gothic"/>
                <w:szCs w:val="21"/>
              </w:rPr>
              <w:t>the</w:t>
            </w:r>
            <w:r w:rsidR="00484E91" w:rsidRPr="00484E91">
              <w:rPr>
                <w:rFonts w:ascii="Century Gothic" w:hAnsi="Century Gothic"/>
                <w:szCs w:val="21"/>
              </w:rPr>
              <w:t xml:space="preserve"> New</w:t>
            </w:r>
            <w:r w:rsidR="00576681" w:rsidRPr="007E366D">
              <w:rPr>
                <w:rFonts w:ascii="Century Gothic" w:hAnsi="Century Gothic"/>
                <w:szCs w:val="21"/>
              </w:rPr>
              <w:t xml:space="preserve"> </w:t>
            </w:r>
            <w:r w:rsidR="00947273" w:rsidRPr="007E366D">
              <w:rPr>
                <w:rFonts w:ascii="Century Gothic" w:hAnsi="Century Gothic"/>
                <w:szCs w:val="21"/>
              </w:rPr>
              <w:t xml:space="preserve">Options within the </w:t>
            </w:r>
            <w:r w:rsidR="00484E91" w:rsidRPr="00D406CF">
              <w:rPr>
                <w:rFonts w:ascii="Century Gothic" w:hAnsi="Century Gothic"/>
                <w:szCs w:val="21"/>
              </w:rPr>
              <w:t>2-year</w:t>
            </w:r>
            <w:r w:rsidR="00947273" w:rsidRPr="00D406CF">
              <w:rPr>
                <w:rFonts w:ascii="Century Gothic" w:hAnsi="Century Gothic"/>
                <w:szCs w:val="21"/>
              </w:rPr>
              <w:t xml:space="preserve"> term of the </w:t>
            </w:r>
            <w:r w:rsidR="00484E91" w:rsidRPr="00484E91">
              <w:rPr>
                <w:rFonts w:ascii="Century Gothic" w:hAnsi="Century Gothic"/>
                <w:szCs w:val="21"/>
              </w:rPr>
              <w:t xml:space="preserve">New </w:t>
            </w:r>
            <w:r w:rsidR="00947273" w:rsidRPr="00D406CF">
              <w:rPr>
                <w:rFonts w:ascii="Century Gothic" w:hAnsi="Century Gothic"/>
                <w:szCs w:val="21"/>
              </w:rPr>
              <w:t xml:space="preserve">Options and increase their shareholding and </w:t>
            </w:r>
            <w:r w:rsidR="006A0233" w:rsidRPr="00D406CF">
              <w:rPr>
                <w:rFonts w:ascii="Century Gothic" w:hAnsi="Century Gothic"/>
                <w:szCs w:val="21"/>
              </w:rPr>
              <w:t xml:space="preserve">exposure to the </w:t>
            </w:r>
            <w:r w:rsidR="00947273" w:rsidRPr="00D406CF">
              <w:rPr>
                <w:rFonts w:ascii="Century Gothic" w:hAnsi="Century Gothic"/>
                <w:szCs w:val="21"/>
              </w:rPr>
              <w:t xml:space="preserve">potential upside in the Company’s </w:t>
            </w:r>
            <w:r w:rsidR="006A0233" w:rsidRPr="00D406CF">
              <w:rPr>
                <w:rFonts w:ascii="Century Gothic" w:hAnsi="Century Gothic"/>
                <w:szCs w:val="21"/>
              </w:rPr>
              <w:t>S</w:t>
            </w:r>
            <w:r w:rsidR="00947273" w:rsidRPr="00D406CF">
              <w:rPr>
                <w:rFonts w:ascii="Century Gothic" w:hAnsi="Century Gothic"/>
                <w:szCs w:val="21"/>
              </w:rPr>
              <w:t>hares into the future.</w:t>
            </w:r>
          </w:p>
          <w:p w14:paraId="5ED0465C" w14:textId="03EF8A7C" w:rsidR="00FF2736" w:rsidRPr="007E366D" w:rsidRDefault="00947273" w:rsidP="00321A63">
            <w:pPr>
              <w:pStyle w:val="TableParagraph"/>
              <w:spacing w:before="60" w:after="60"/>
              <w:ind w:right="320"/>
              <w:rPr>
                <w:rFonts w:ascii="Century Gothic" w:hAnsi="Century Gothic"/>
                <w:szCs w:val="21"/>
              </w:rPr>
            </w:pPr>
            <w:r w:rsidRPr="00D406CF">
              <w:rPr>
                <w:rFonts w:ascii="Century Gothic" w:hAnsi="Century Gothic"/>
                <w:szCs w:val="21"/>
              </w:rPr>
              <w:t xml:space="preserve">Given the need to pay the exercise price in order to acquire </w:t>
            </w:r>
            <w:r w:rsidR="00576681" w:rsidRPr="00D406CF">
              <w:rPr>
                <w:rFonts w:ascii="Century Gothic" w:hAnsi="Century Gothic"/>
                <w:szCs w:val="21"/>
              </w:rPr>
              <w:t>S</w:t>
            </w:r>
            <w:r w:rsidRPr="00D406CF">
              <w:rPr>
                <w:rFonts w:ascii="Century Gothic" w:hAnsi="Century Gothic"/>
                <w:szCs w:val="21"/>
              </w:rPr>
              <w:t xml:space="preserve">hares, </w:t>
            </w:r>
            <w:r w:rsidR="00576681" w:rsidRPr="00D406CF">
              <w:rPr>
                <w:rFonts w:ascii="Century Gothic" w:hAnsi="Century Gothic"/>
                <w:szCs w:val="21"/>
              </w:rPr>
              <w:t>In</w:t>
            </w:r>
            <w:r w:rsidRPr="00D406CF">
              <w:rPr>
                <w:rFonts w:ascii="Century Gothic" w:hAnsi="Century Gothic"/>
                <w:szCs w:val="21"/>
              </w:rPr>
              <w:t>vestors in the target market</w:t>
            </w:r>
            <w:r w:rsidR="006A0233" w:rsidRPr="00D406CF">
              <w:rPr>
                <w:rFonts w:ascii="Century Gothic" w:hAnsi="Century Gothic"/>
                <w:szCs w:val="21"/>
              </w:rPr>
              <w:t xml:space="preserve"> </w:t>
            </w:r>
            <w:r w:rsidR="00301C89" w:rsidRPr="00D406CF">
              <w:rPr>
                <w:rFonts w:ascii="Century Gothic" w:hAnsi="Century Gothic"/>
                <w:szCs w:val="21"/>
              </w:rPr>
              <w:t xml:space="preserve">are in a financial position that is sufficient for them to invest their </w:t>
            </w:r>
            <w:r w:rsidR="00301C89" w:rsidRPr="00D406CF">
              <w:rPr>
                <w:rFonts w:ascii="Century Gothic" w:hAnsi="Century Gothic"/>
                <w:szCs w:val="21"/>
              </w:rPr>
              <w:lastRenderedPageBreak/>
              <w:t>funds over a</w:t>
            </w:r>
            <w:r w:rsidR="00A40B76" w:rsidRPr="00D406CF">
              <w:rPr>
                <w:rFonts w:ascii="Century Gothic" w:hAnsi="Century Gothic"/>
                <w:szCs w:val="21"/>
              </w:rPr>
              <w:t xml:space="preserve"> </w:t>
            </w:r>
            <w:r w:rsidR="00484E91" w:rsidRPr="00D406CF">
              <w:rPr>
                <w:rFonts w:ascii="Century Gothic" w:hAnsi="Century Gothic"/>
                <w:szCs w:val="21"/>
              </w:rPr>
              <w:t>2-year</w:t>
            </w:r>
            <w:r w:rsidR="00301C89" w:rsidRPr="00D406CF">
              <w:rPr>
                <w:rFonts w:ascii="Century Gothic" w:hAnsi="Century Gothic"/>
                <w:szCs w:val="21"/>
              </w:rPr>
              <w:t xml:space="preserve"> time horizon</w:t>
            </w:r>
            <w:r w:rsidR="00576681" w:rsidRPr="00D406CF">
              <w:rPr>
                <w:rFonts w:ascii="Century Gothic" w:hAnsi="Century Gothic"/>
                <w:szCs w:val="21"/>
              </w:rPr>
              <w:t xml:space="preserve"> should</w:t>
            </w:r>
            <w:r w:rsidR="00576681" w:rsidRPr="007E366D">
              <w:rPr>
                <w:rFonts w:ascii="Century Gothic" w:hAnsi="Century Gothic"/>
                <w:szCs w:val="21"/>
              </w:rPr>
              <w:t xml:space="preserve"> they wish to exercise their </w:t>
            </w:r>
            <w:r w:rsidR="00484E91" w:rsidRPr="00484E91">
              <w:rPr>
                <w:rFonts w:ascii="Century Gothic" w:hAnsi="Century Gothic"/>
                <w:szCs w:val="21"/>
              </w:rPr>
              <w:t xml:space="preserve">New </w:t>
            </w:r>
            <w:r w:rsidR="00576681" w:rsidRPr="007E366D">
              <w:rPr>
                <w:rFonts w:ascii="Century Gothic" w:hAnsi="Century Gothic"/>
                <w:szCs w:val="21"/>
              </w:rPr>
              <w:t>Options.</w:t>
            </w:r>
            <w:r w:rsidR="003D3E0D" w:rsidRPr="007E366D">
              <w:rPr>
                <w:rFonts w:ascii="Century Gothic" w:hAnsi="Century Gothic"/>
                <w:szCs w:val="21"/>
              </w:rPr>
              <w:t xml:space="preserve"> Any decision to exercise the </w:t>
            </w:r>
            <w:r w:rsidR="00484E91" w:rsidRPr="00484E91">
              <w:rPr>
                <w:rFonts w:ascii="Century Gothic" w:hAnsi="Century Gothic"/>
                <w:szCs w:val="21"/>
              </w:rPr>
              <w:t xml:space="preserve">New </w:t>
            </w:r>
            <w:r w:rsidR="003D3E0D" w:rsidRPr="007E366D">
              <w:rPr>
                <w:rFonts w:ascii="Century Gothic" w:hAnsi="Century Gothic"/>
                <w:szCs w:val="21"/>
              </w:rPr>
              <w:t>Options is likely to be based on the trading price of the Shares.</w:t>
            </w:r>
          </w:p>
        </w:tc>
      </w:tr>
      <w:tr w:rsidR="00FF2736" w:rsidRPr="007E366D" w14:paraId="079E5BF1" w14:textId="77777777" w:rsidTr="005E2495">
        <w:trPr>
          <w:trHeight w:val="381"/>
        </w:trPr>
        <w:tc>
          <w:tcPr>
            <w:tcW w:w="1356" w:type="pct"/>
            <w:shd w:val="clear" w:color="auto" w:fill="F2F2F2" w:themeFill="background1" w:themeFillShade="F2"/>
          </w:tcPr>
          <w:p w14:paraId="59F3E8F0" w14:textId="2994F8B0"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szCs w:val="21"/>
              </w:rPr>
              <w:lastRenderedPageBreak/>
              <w:t>Investment</w:t>
            </w:r>
            <w:r w:rsidRPr="0072634D">
              <w:rPr>
                <w:rFonts w:ascii="Century Gothic" w:hAnsi="Century Gothic"/>
                <w:b/>
                <w:szCs w:val="21"/>
              </w:rPr>
              <w:t xml:space="preserve"> </w:t>
            </w:r>
            <w:r w:rsidR="00285C04" w:rsidRPr="007E366D">
              <w:rPr>
                <w:rFonts w:ascii="Century Gothic" w:hAnsi="Century Gothic"/>
                <w:b/>
                <w:szCs w:val="21"/>
              </w:rPr>
              <w:t>Metrics</w:t>
            </w:r>
          </w:p>
        </w:tc>
        <w:tc>
          <w:tcPr>
            <w:tcW w:w="3644" w:type="pct"/>
            <w:shd w:val="clear" w:color="auto" w:fill="F2F2F2" w:themeFill="background1" w:themeFillShade="F2"/>
          </w:tcPr>
          <w:p w14:paraId="502C5DC0" w14:textId="22998826" w:rsidR="0079530F" w:rsidRPr="007E366D" w:rsidRDefault="00301C89" w:rsidP="00DB0ECD">
            <w:pPr>
              <w:pStyle w:val="TableParagraph"/>
              <w:spacing w:before="60" w:after="60"/>
              <w:ind w:right="320"/>
              <w:rPr>
                <w:rFonts w:ascii="Century Gothic" w:hAnsi="Century Gothic"/>
                <w:szCs w:val="21"/>
              </w:rPr>
            </w:pPr>
            <w:r w:rsidRPr="007E366D">
              <w:rPr>
                <w:rFonts w:ascii="Century Gothic" w:hAnsi="Century Gothic"/>
                <w:szCs w:val="21"/>
              </w:rPr>
              <w:t>While</w:t>
            </w:r>
            <w:r w:rsidRPr="0072634D">
              <w:rPr>
                <w:rFonts w:ascii="Century Gothic" w:hAnsi="Century Gothic"/>
                <w:szCs w:val="21"/>
              </w:rPr>
              <w:t xml:space="preserve"> </w:t>
            </w:r>
            <w:r w:rsidRPr="007E366D">
              <w:rPr>
                <w:rFonts w:ascii="Century Gothic" w:hAnsi="Century Gothic"/>
                <w:szCs w:val="21"/>
              </w:rPr>
              <w:t>the</w:t>
            </w:r>
            <w:r w:rsidRPr="0072634D">
              <w:rPr>
                <w:rFonts w:ascii="Century Gothic" w:hAnsi="Century Gothic"/>
                <w:szCs w:val="21"/>
              </w:rPr>
              <w:t xml:space="preserve"> </w:t>
            </w:r>
            <w:r w:rsidRPr="007E366D">
              <w:rPr>
                <w:rFonts w:ascii="Century Gothic" w:hAnsi="Century Gothic"/>
                <w:szCs w:val="21"/>
              </w:rPr>
              <w:t>Company</w:t>
            </w:r>
            <w:r w:rsidRPr="0072634D">
              <w:rPr>
                <w:rFonts w:ascii="Century Gothic" w:hAnsi="Century Gothic"/>
                <w:szCs w:val="21"/>
              </w:rPr>
              <w:t xml:space="preserve"> </w:t>
            </w:r>
            <w:r w:rsidRPr="007E366D">
              <w:rPr>
                <w:rFonts w:ascii="Century Gothic" w:hAnsi="Century Gothic"/>
                <w:szCs w:val="21"/>
              </w:rPr>
              <w:t>does not</w:t>
            </w:r>
            <w:r w:rsidRPr="0072634D">
              <w:rPr>
                <w:rFonts w:ascii="Century Gothic" w:hAnsi="Century Gothic"/>
                <w:szCs w:val="21"/>
              </w:rPr>
              <w:t xml:space="preserve"> </w:t>
            </w:r>
            <w:r w:rsidRPr="007E366D">
              <w:rPr>
                <w:rFonts w:ascii="Century Gothic" w:hAnsi="Century Gothic"/>
                <w:szCs w:val="21"/>
              </w:rPr>
              <w:t>have</w:t>
            </w:r>
            <w:r w:rsidRPr="0072634D">
              <w:rPr>
                <w:rFonts w:ascii="Century Gothic" w:hAnsi="Century Gothic"/>
                <w:szCs w:val="21"/>
              </w:rPr>
              <w:t xml:space="preserve"> </w:t>
            </w:r>
            <w:r w:rsidRPr="007E366D">
              <w:rPr>
                <w:rFonts w:ascii="Century Gothic" w:hAnsi="Century Gothic"/>
                <w:szCs w:val="21"/>
              </w:rPr>
              <w:t>an established</w:t>
            </w:r>
            <w:r w:rsidRPr="0072634D">
              <w:rPr>
                <w:rFonts w:ascii="Century Gothic" w:hAnsi="Century Gothic"/>
                <w:szCs w:val="21"/>
              </w:rPr>
              <w:t xml:space="preserve"> </w:t>
            </w:r>
            <w:r w:rsidRPr="007E366D">
              <w:rPr>
                <w:rFonts w:ascii="Century Gothic" w:hAnsi="Century Gothic"/>
                <w:szCs w:val="21"/>
              </w:rPr>
              <w:t>eligibility</w:t>
            </w:r>
            <w:r w:rsidRPr="0072634D">
              <w:rPr>
                <w:rFonts w:ascii="Century Gothic" w:hAnsi="Century Gothic"/>
                <w:szCs w:val="21"/>
              </w:rPr>
              <w:t xml:space="preserve"> </w:t>
            </w:r>
            <w:r w:rsidRPr="007E366D">
              <w:rPr>
                <w:rFonts w:ascii="Century Gothic" w:hAnsi="Century Gothic"/>
                <w:szCs w:val="21"/>
              </w:rPr>
              <w:t>framework</w:t>
            </w:r>
            <w:r w:rsidRPr="0072634D">
              <w:rPr>
                <w:rFonts w:ascii="Century Gothic" w:hAnsi="Century Gothic"/>
                <w:szCs w:val="21"/>
              </w:rPr>
              <w:t xml:space="preserve"> </w:t>
            </w:r>
            <w:r w:rsidRPr="007E366D">
              <w:rPr>
                <w:rFonts w:ascii="Century Gothic" w:hAnsi="Century Gothic"/>
                <w:szCs w:val="21"/>
              </w:rPr>
              <w:t>for</w:t>
            </w:r>
            <w:r w:rsidRPr="0072634D">
              <w:rPr>
                <w:rFonts w:ascii="Century Gothic" w:hAnsi="Century Gothic"/>
                <w:szCs w:val="21"/>
              </w:rPr>
              <w:t xml:space="preserve"> </w:t>
            </w:r>
            <w:r w:rsidRPr="007E366D">
              <w:rPr>
                <w:rFonts w:ascii="Century Gothic" w:hAnsi="Century Gothic"/>
                <w:szCs w:val="21"/>
              </w:rPr>
              <w:t>investors</w:t>
            </w:r>
            <w:r w:rsidRPr="0072634D">
              <w:rPr>
                <w:rFonts w:ascii="Century Gothic" w:hAnsi="Century Gothic"/>
                <w:szCs w:val="21"/>
              </w:rPr>
              <w:t xml:space="preserve"> </w:t>
            </w:r>
            <w:r w:rsidRPr="007E366D">
              <w:rPr>
                <w:rFonts w:ascii="Century Gothic" w:hAnsi="Century Gothic"/>
                <w:szCs w:val="21"/>
              </w:rPr>
              <w:t>based</w:t>
            </w:r>
            <w:r w:rsidRPr="0072634D">
              <w:rPr>
                <w:rFonts w:ascii="Century Gothic" w:hAnsi="Century Gothic"/>
                <w:szCs w:val="21"/>
              </w:rPr>
              <w:t xml:space="preserve"> </w:t>
            </w:r>
            <w:r w:rsidRPr="007E366D">
              <w:rPr>
                <w:rFonts w:ascii="Century Gothic" w:hAnsi="Century Gothic"/>
                <w:szCs w:val="21"/>
              </w:rPr>
              <w:t>on</w:t>
            </w:r>
            <w:r w:rsidRPr="0072634D">
              <w:rPr>
                <w:rFonts w:ascii="Century Gothic" w:hAnsi="Century Gothic"/>
                <w:szCs w:val="21"/>
              </w:rPr>
              <w:t xml:space="preserve"> </w:t>
            </w:r>
            <w:r w:rsidRPr="007E366D">
              <w:rPr>
                <w:rFonts w:ascii="Century Gothic" w:hAnsi="Century Gothic"/>
                <w:szCs w:val="21"/>
              </w:rPr>
              <w:t>metrics such as age, expected return or volatility, it is expected that the target market of</w:t>
            </w:r>
            <w:r w:rsidRPr="0072634D">
              <w:rPr>
                <w:rFonts w:ascii="Century Gothic" w:hAnsi="Century Gothic"/>
                <w:szCs w:val="21"/>
              </w:rPr>
              <w:t xml:space="preserve"> </w:t>
            </w:r>
            <w:r w:rsidRPr="007E366D">
              <w:rPr>
                <w:rFonts w:ascii="Century Gothic" w:hAnsi="Century Gothic"/>
                <w:szCs w:val="21"/>
              </w:rPr>
              <w:t>investors</w:t>
            </w:r>
            <w:r w:rsidRPr="0072634D">
              <w:rPr>
                <w:rFonts w:ascii="Century Gothic" w:hAnsi="Century Gothic"/>
                <w:szCs w:val="21"/>
              </w:rPr>
              <w:t xml:space="preserve"> </w:t>
            </w:r>
            <w:r w:rsidRPr="007E366D">
              <w:rPr>
                <w:rFonts w:ascii="Century Gothic" w:hAnsi="Century Gothic"/>
                <w:szCs w:val="21"/>
              </w:rPr>
              <w:t>will</w:t>
            </w:r>
            <w:r w:rsidRPr="0072634D">
              <w:rPr>
                <w:rFonts w:ascii="Century Gothic" w:hAnsi="Century Gothic"/>
                <w:szCs w:val="21"/>
              </w:rPr>
              <w:t xml:space="preserve"> </w:t>
            </w:r>
            <w:r w:rsidRPr="007E366D">
              <w:rPr>
                <w:rFonts w:ascii="Century Gothic" w:hAnsi="Century Gothic"/>
                <w:szCs w:val="21"/>
              </w:rPr>
              <w:t>be</w:t>
            </w:r>
            <w:r w:rsidRPr="0072634D">
              <w:rPr>
                <w:rFonts w:ascii="Century Gothic" w:hAnsi="Century Gothic"/>
                <w:szCs w:val="21"/>
              </w:rPr>
              <w:t xml:space="preserve"> </w:t>
            </w:r>
            <w:r w:rsidRPr="007E366D">
              <w:rPr>
                <w:rFonts w:ascii="Century Gothic" w:hAnsi="Century Gothic"/>
                <w:szCs w:val="21"/>
              </w:rPr>
              <w:t>able</w:t>
            </w:r>
            <w:r w:rsidRPr="0072634D">
              <w:rPr>
                <w:rFonts w:ascii="Century Gothic" w:hAnsi="Century Gothic"/>
                <w:szCs w:val="21"/>
              </w:rPr>
              <w:t xml:space="preserve"> </w:t>
            </w:r>
            <w:r w:rsidRPr="007E366D">
              <w:rPr>
                <w:rFonts w:ascii="Century Gothic" w:hAnsi="Century Gothic"/>
                <w:szCs w:val="21"/>
              </w:rPr>
              <w:t>to</w:t>
            </w:r>
            <w:r w:rsidRPr="0072634D">
              <w:rPr>
                <w:rFonts w:ascii="Century Gothic" w:hAnsi="Century Gothic"/>
                <w:szCs w:val="21"/>
              </w:rPr>
              <w:t xml:space="preserve"> </w:t>
            </w:r>
            <w:r w:rsidRPr="007E366D">
              <w:rPr>
                <w:rFonts w:ascii="Century Gothic" w:hAnsi="Century Gothic"/>
                <w:szCs w:val="21"/>
              </w:rPr>
              <w:t>withstand</w:t>
            </w:r>
            <w:r w:rsidRPr="0072634D">
              <w:rPr>
                <w:rFonts w:ascii="Century Gothic" w:hAnsi="Century Gothic"/>
                <w:szCs w:val="21"/>
              </w:rPr>
              <w:t xml:space="preserve"> </w:t>
            </w:r>
            <w:r w:rsidRPr="00A40B76">
              <w:rPr>
                <w:rFonts w:ascii="Century Gothic" w:hAnsi="Century Gothic"/>
                <w:szCs w:val="21"/>
              </w:rPr>
              <w:t>potential fluctuations in the value of their investment</w:t>
            </w:r>
            <w:r w:rsidR="0079530F" w:rsidRPr="00A40B76">
              <w:rPr>
                <w:rFonts w:ascii="Century Gothic" w:hAnsi="Century Gothic"/>
                <w:szCs w:val="21"/>
              </w:rPr>
              <w:t xml:space="preserve"> and who are accustomed to participating in speculative investments i</w:t>
            </w:r>
            <w:r w:rsidR="0079530F" w:rsidRPr="00D406CF">
              <w:rPr>
                <w:rFonts w:ascii="Century Gothic" w:hAnsi="Century Gothic"/>
                <w:szCs w:val="21"/>
              </w:rPr>
              <w:t xml:space="preserve">n the </w:t>
            </w:r>
            <w:r w:rsidR="00A40B76" w:rsidRPr="00D406CF">
              <w:rPr>
                <w:rFonts w:ascii="Century Gothic" w:hAnsi="Century Gothic"/>
                <w:szCs w:val="21"/>
              </w:rPr>
              <w:t>biotech</w:t>
            </w:r>
            <w:r w:rsidR="0079530F" w:rsidRPr="00D406CF">
              <w:rPr>
                <w:rFonts w:ascii="Century Gothic" w:hAnsi="Century Gothic"/>
                <w:szCs w:val="21"/>
              </w:rPr>
              <w:t xml:space="preserve"> sector.</w:t>
            </w:r>
          </w:p>
          <w:p w14:paraId="644DC5D6" w14:textId="25FD4ED7" w:rsidR="00422E3B" w:rsidRPr="007E366D" w:rsidRDefault="00422E3B" w:rsidP="00DB0ECD">
            <w:pPr>
              <w:pStyle w:val="TableParagraph"/>
              <w:spacing w:before="60" w:after="60"/>
              <w:ind w:right="320"/>
              <w:rPr>
                <w:rFonts w:ascii="Century Gothic" w:hAnsi="Century Gothic"/>
                <w:szCs w:val="21"/>
              </w:rPr>
            </w:pPr>
            <w:r w:rsidRPr="007E366D">
              <w:rPr>
                <w:rFonts w:ascii="Century Gothic" w:hAnsi="Century Gothic"/>
                <w:szCs w:val="21"/>
              </w:rPr>
              <w:t xml:space="preserve">An exercise price is required to be paid to acquire shares on exercise of </w:t>
            </w:r>
            <w:r w:rsidR="00484E91" w:rsidRPr="00484E91">
              <w:rPr>
                <w:rFonts w:ascii="Century Gothic" w:hAnsi="Century Gothic"/>
                <w:szCs w:val="21"/>
              </w:rPr>
              <w:t xml:space="preserve">New </w:t>
            </w:r>
            <w:r w:rsidRPr="007E366D">
              <w:rPr>
                <w:rFonts w:ascii="Century Gothic" w:hAnsi="Century Gothic"/>
                <w:szCs w:val="21"/>
              </w:rPr>
              <w:t xml:space="preserve">Options. As such, the capacity to realise the underlying value of the </w:t>
            </w:r>
            <w:r w:rsidR="00484E91" w:rsidRPr="00484E91">
              <w:rPr>
                <w:rFonts w:ascii="Century Gothic" w:hAnsi="Century Gothic"/>
                <w:szCs w:val="21"/>
              </w:rPr>
              <w:t xml:space="preserve">New </w:t>
            </w:r>
            <w:r w:rsidRPr="007E366D">
              <w:rPr>
                <w:rFonts w:ascii="Century Gothic" w:hAnsi="Century Gothic"/>
                <w:szCs w:val="21"/>
              </w:rPr>
              <w:t xml:space="preserve">Options </w:t>
            </w:r>
            <w:r w:rsidR="003D5E23" w:rsidRPr="007E366D">
              <w:rPr>
                <w:rFonts w:ascii="Century Gothic" w:hAnsi="Century Gothic"/>
                <w:szCs w:val="21"/>
              </w:rPr>
              <w:t>w</w:t>
            </w:r>
            <w:r w:rsidRPr="007E366D">
              <w:rPr>
                <w:rFonts w:ascii="Century Gothic" w:hAnsi="Century Gothic"/>
                <w:szCs w:val="21"/>
              </w:rPr>
              <w:t xml:space="preserve">ould require that they be exercised on or before the expiry date. Investors in the target market will need to be in a financial position to have sufficient available funds so as to facilitate an exercise of the </w:t>
            </w:r>
            <w:r w:rsidR="00484E91" w:rsidRPr="00484E91">
              <w:rPr>
                <w:rFonts w:ascii="Century Gothic" w:hAnsi="Century Gothic"/>
                <w:szCs w:val="21"/>
              </w:rPr>
              <w:t xml:space="preserve">New </w:t>
            </w:r>
            <w:r w:rsidRPr="007E366D">
              <w:rPr>
                <w:rFonts w:ascii="Century Gothic" w:hAnsi="Century Gothic"/>
                <w:szCs w:val="21"/>
              </w:rPr>
              <w:t xml:space="preserve">Options prior to the expiry date. Prior to the expiry date, investors’ ability to liquidate the </w:t>
            </w:r>
            <w:r w:rsidR="00484E91" w:rsidRPr="00484E91">
              <w:rPr>
                <w:rFonts w:ascii="Century Gothic" w:hAnsi="Century Gothic"/>
                <w:szCs w:val="21"/>
              </w:rPr>
              <w:t xml:space="preserve">New </w:t>
            </w:r>
            <w:r w:rsidRPr="007E366D">
              <w:rPr>
                <w:rFonts w:ascii="Century Gothic" w:hAnsi="Century Gothic"/>
                <w:szCs w:val="21"/>
              </w:rPr>
              <w:t xml:space="preserve">Options may be limited by a lack of liquidity in the trading of </w:t>
            </w:r>
            <w:r w:rsidR="003D5E23" w:rsidRPr="007E366D">
              <w:rPr>
                <w:rFonts w:ascii="Century Gothic" w:hAnsi="Century Gothic"/>
                <w:szCs w:val="21"/>
              </w:rPr>
              <w:t>S</w:t>
            </w:r>
            <w:r w:rsidRPr="007E366D">
              <w:rPr>
                <w:rFonts w:ascii="Century Gothic" w:hAnsi="Century Gothic"/>
                <w:szCs w:val="21"/>
              </w:rPr>
              <w:t xml:space="preserve">hares and the price of the </w:t>
            </w:r>
            <w:r w:rsidR="00811B2A">
              <w:rPr>
                <w:rFonts w:ascii="Century Gothic" w:hAnsi="Century Gothic"/>
                <w:szCs w:val="21"/>
              </w:rPr>
              <w:t>S</w:t>
            </w:r>
            <w:r w:rsidRPr="007E366D">
              <w:rPr>
                <w:rFonts w:ascii="Century Gothic" w:hAnsi="Century Gothic"/>
                <w:szCs w:val="21"/>
              </w:rPr>
              <w:t>hares.</w:t>
            </w:r>
          </w:p>
          <w:p w14:paraId="7D3C2683" w14:textId="01C64FD2" w:rsidR="0079530F" w:rsidRPr="007E366D" w:rsidRDefault="007126EF" w:rsidP="00422E3B">
            <w:pPr>
              <w:pStyle w:val="TableParagraph"/>
              <w:spacing w:before="60" w:after="60"/>
              <w:ind w:right="320"/>
              <w:rPr>
                <w:rFonts w:ascii="Century Gothic" w:hAnsi="Century Gothic"/>
                <w:szCs w:val="21"/>
              </w:rPr>
            </w:pPr>
            <w:r w:rsidRPr="007E366D">
              <w:rPr>
                <w:rFonts w:ascii="Century Gothic" w:hAnsi="Century Gothic"/>
                <w:szCs w:val="21"/>
              </w:rPr>
              <w:t xml:space="preserve">The </w:t>
            </w:r>
            <w:r w:rsidR="00484E91" w:rsidRPr="00484E91">
              <w:rPr>
                <w:rFonts w:ascii="Century Gothic" w:hAnsi="Century Gothic"/>
                <w:szCs w:val="21"/>
              </w:rPr>
              <w:t xml:space="preserve">New </w:t>
            </w:r>
            <w:r w:rsidRPr="007E366D">
              <w:rPr>
                <w:rFonts w:ascii="Century Gothic" w:hAnsi="Century Gothic"/>
                <w:szCs w:val="21"/>
              </w:rPr>
              <w:t xml:space="preserve">Options offer no guaranteed income or capital protection. </w:t>
            </w:r>
          </w:p>
        </w:tc>
      </w:tr>
      <w:tr w:rsidR="00FF2736" w:rsidRPr="007E366D" w14:paraId="5E7AD09D" w14:textId="77777777" w:rsidTr="005E2495">
        <w:trPr>
          <w:trHeight w:val="1019"/>
        </w:trPr>
        <w:tc>
          <w:tcPr>
            <w:tcW w:w="1356" w:type="pct"/>
            <w:shd w:val="clear" w:color="auto" w:fill="F2F2F2" w:themeFill="background1" w:themeFillShade="F2"/>
          </w:tcPr>
          <w:p w14:paraId="6139D2D6" w14:textId="77777777"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szCs w:val="21"/>
              </w:rPr>
              <w:t>Risk</w:t>
            </w:r>
          </w:p>
        </w:tc>
        <w:tc>
          <w:tcPr>
            <w:tcW w:w="3644" w:type="pct"/>
            <w:shd w:val="clear" w:color="auto" w:fill="F2F2F2" w:themeFill="background1" w:themeFillShade="F2"/>
          </w:tcPr>
          <w:p w14:paraId="025A54FB" w14:textId="4856A317" w:rsidR="00FF2736" w:rsidRPr="007E366D" w:rsidRDefault="00301C89" w:rsidP="00DB0ECD">
            <w:pPr>
              <w:pStyle w:val="TableParagraph"/>
              <w:spacing w:before="60" w:after="60"/>
              <w:ind w:right="320"/>
              <w:rPr>
                <w:rFonts w:ascii="Century Gothic" w:hAnsi="Century Gothic"/>
                <w:szCs w:val="21"/>
              </w:rPr>
            </w:pPr>
            <w:r w:rsidRPr="007E366D">
              <w:rPr>
                <w:rFonts w:ascii="Century Gothic" w:hAnsi="Century Gothic"/>
                <w:szCs w:val="21"/>
              </w:rPr>
              <w:t xml:space="preserve">The Company considers that an investment in the </w:t>
            </w:r>
            <w:r w:rsidR="00484E91" w:rsidRPr="00484E91">
              <w:rPr>
                <w:rFonts w:ascii="Century Gothic" w:hAnsi="Century Gothic"/>
                <w:szCs w:val="21"/>
              </w:rPr>
              <w:t xml:space="preserve">New </w:t>
            </w:r>
            <w:r w:rsidR="00DB0ECD" w:rsidRPr="007E366D">
              <w:rPr>
                <w:rFonts w:ascii="Century Gothic" w:hAnsi="Century Gothic"/>
                <w:szCs w:val="21"/>
              </w:rPr>
              <w:t>Options is highly speculative</w:t>
            </w:r>
            <w:r w:rsidRPr="007E366D">
              <w:rPr>
                <w:rFonts w:ascii="Century Gothic" w:hAnsi="Century Gothic"/>
                <w:szCs w:val="21"/>
              </w:rPr>
              <w:t>, such</w:t>
            </w:r>
            <w:r w:rsidRPr="0072634D">
              <w:rPr>
                <w:rFonts w:ascii="Century Gothic" w:hAnsi="Century Gothic"/>
                <w:szCs w:val="21"/>
              </w:rPr>
              <w:t xml:space="preserve"> </w:t>
            </w:r>
            <w:r w:rsidRPr="007E366D">
              <w:rPr>
                <w:rFonts w:ascii="Century Gothic" w:hAnsi="Century Gothic"/>
                <w:szCs w:val="21"/>
              </w:rPr>
              <w:t>that</w:t>
            </w:r>
            <w:r w:rsidRPr="0072634D">
              <w:rPr>
                <w:rFonts w:ascii="Century Gothic" w:hAnsi="Century Gothic"/>
                <w:szCs w:val="21"/>
              </w:rPr>
              <w:t xml:space="preserve"> </w:t>
            </w:r>
            <w:r w:rsidRPr="007E366D">
              <w:rPr>
                <w:rFonts w:ascii="Century Gothic" w:hAnsi="Century Gothic"/>
                <w:szCs w:val="21"/>
              </w:rPr>
              <w:t>an investment</w:t>
            </w:r>
            <w:r w:rsidRPr="0072634D">
              <w:rPr>
                <w:rFonts w:ascii="Century Gothic" w:hAnsi="Century Gothic"/>
                <w:szCs w:val="21"/>
              </w:rPr>
              <w:t xml:space="preserve"> </w:t>
            </w:r>
            <w:r w:rsidRPr="007E366D">
              <w:rPr>
                <w:rFonts w:ascii="Century Gothic" w:hAnsi="Century Gothic"/>
                <w:szCs w:val="21"/>
              </w:rPr>
              <w:t>in</w:t>
            </w:r>
            <w:r w:rsidRPr="0072634D">
              <w:rPr>
                <w:rFonts w:ascii="Century Gothic" w:hAnsi="Century Gothic"/>
                <w:szCs w:val="21"/>
              </w:rPr>
              <w:t xml:space="preserve"> </w:t>
            </w:r>
            <w:r w:rsidRPr="007E366D">
              <w:rPr>
                <w:rFonts w:ascii="Century Gothic" w:hAnsi="Century Gothic"/>
                <w:szCs w:val="21"/>
              </w:rPr>
              <w:t>the</w:t>
            </w:r>
            <w:r w:rsidRPr="0072634D">
              <w:rPr>
                <w:rFonts w:ascii="Century Gothic" w:hAnsi="Century Gothic"/>
                <w:szCs w:val="21"/>
              </w:rPr>
              <w:t xml:space="preserve"> </w:t>
            </w:r>
            <w:r w:rsidRPr="007E366D">
              <w:rPr>
                <w:rFonts w:ascii="Century Gothic" w:hAnsi="Century Gothic"/>
                <w:szCs w:val="21"/>
              </w:rPr>
              <w:t>Company</w:t>
            </w:r>
            <w:r w:rsidRPr="0072634D">
              <w:rPr>
                <w:rFonts w:ascii="Century Gothic" w:hAnsi="Century Gothic"/>
                <w:szCs w:val="21"/>
              </w:rPr>
              <w:t xml:space="preserve"> </w:t>
            </w:r>
            <w:r w:rsidRPr="007E366D">
              <w:rPr>
                <w:rFonts w:ascii="Century Gothic" w:hAnsi="Century Gothic"/>
                <w:szCs w:val="21"/>
              </w:rPr>
              <w:t>is</w:t>
            </w:r>
            <w:r w:rsidRPr="0072634D">
              <w:rPr>
                <w:rFonts w:ascii="Century Gothic" w:hAnsi="Century Gothic"/>
                <w:szCs w:val="21"/>
              </w:rPr>
              <w:t xml:space="preserve"> </w:t>
            </w:r>
            <w:r w:rsidRPr="007E366D">
              <w:rPr>
                <w:rFonts w:ascii="Century Gothic" w:hAnsi="Century Gothic"/>
                <w:szCs w:val="21"/>
              </w:rPr>
              <w:t>not</w:t>
            </w:r>
            <w:r w:rsidRPr="0072634D">
              <w:rPr>
                <w:rFonts w:ascii="Century Gothic" w:hAnsi="Century Gothic"/>
                <w:szCs w:val="21"/>
              </w:rPr>
              <w:t xml:space="preserve"> </w:t>
            </w:r>
            <w:r w:rsidRPr="007E366D">
              <w:rPr>
                <w:rFonts w:ascii="Century Gothic" w:hAnsi="Century Gothic"/>
                <w:szCs w:val="21"/>
              </w:rPr>
              <w:t>appropriate</w:t>
            </w:r>
            <w:r w:rsidRPr="0072634D">
              <w:rPr>
                <w:rFonts w:ascii="Century Gothic" w:hAnsi="Century Gothic"/>
                <w:szCs w:val="21"/>
              </w:rPr>
              <w:t xml:space="preserve"> </w:t>
            </w:r>
            <w:r w:rsidRPr="007E366D">
              <w:rPr>
                <w:rFonts w:ascii="Century Gothic" w:hAnsi="Century Gothic"/>
                <w:szCs w:val="21"/>
              </w:rPr>
              <w:t>for</w:t>
            </w:r>
            <w:r w:rsidRPr="0072634D">
              <w:rPr>
                <w:rFonts w:ascii="Century Gothic" w:hAnsi="Century Gothic"/>
                <w:szCs w:val="21"/>
              </w:rPr>
              <w:t xml:space="preserve"> </w:t>
            </w:r>
            <w:r w:rsidRPr="007E366D">
              <w:rPr>
                <w:rFonts w:ascii="Century Gothic" w:hAnsi="Century Gothic"/>
                <w:szCs w:val="21"/>
              </w:rPr>
              <w:t>an</w:t>
            </w:r>
            <w:r w:rsidRPr="0072634D">
              <w:rPr>
                <w:rFonts w:ascii="Century Gothic" w:hAnsi="Century Gothic"/>
                <w:szCs w:val="21"/>
              </w:rPr>
              <w:t xml:space="preserve"> </w:t>
            </w:r>
            <w:r w:rsidRPr="007E366D">
              <w:rPr>
                <w:rFonts w:ascii="Century Gothic" w:hAnsi="Century Gothic"/>
                <w:szCs w:val="21"/>
              </w:rPr>
              <w:t>investor</w:t>
            </w:r>
            <w:r w:rsidRPr="0072634D">
              <w:rPr>
                <w:rFonts w:ascii="Century Gothic" w:hAnsi="Century Gothic"/>
                <w:szCs w:val="21"/>
              </w:rPr>
              <w:t xml:space="preserve"> </w:t>
            </w:r>
            <w:r w:rsidRPr="007E366D">
              <w:rPr>
                <w:rFonts w:ascii="Century Gothic" w:hAnsi="Century Gothic"/>
                <w:szCs w:val="21"/>
              </w:rPr>
              <w:t>who</w:t>
            </w:r>
            <w:r w:rsidRPr="0072634D">
              <w:rPr>
                <w:rFonts w:ascii="Century Gothic" w:hAnsi="Century Gothic"/>
                <w:szCs w:val="21"/>
              </w:rPr>
              <w:t xml:space="preserve"> </w:t>
            </w:r>
            <w:r w:rsidRPr="007E366D">
              <w:rPr>
                <w:rFonts w:ascii="Century Gothic" w:hAnsi="Century Gothic"/>
                <w:szCs w:val="21"/>
              </w:rPr>
              <w:t>would</w:t>
            </w:r>
            <w:r w:rsidRPr="0072634D">
              <w:rPr>
                <w:rFonts w:ascii="Century Gothic" w:hAnsi="Century Gothic"/>
                <w:szCs w:val="21"/>
              </w:rPr>
              <w:t xml:space="preserve"> </w:t>
            </w:r>
            <w:r w:rsidRPr="007E366D">
              <w:rPr>
                <w:rFonts w:ascii="Century Gothic" w:hAnsi="Century Gothic"/>
                <w:szCs w:val="21"/>
              </w:rPr>
              <w:t>not</w:t>
            </w:r>
            <w:r w:rsidRPr="0072634D">
              <w:rPr>
                <w:rFonts w:ascii="Century Gothic" w:hAnsi="Century Gothic"/>
                <w:szCs w:val="21"/>
              </w:rPr>
              <w:t xml:space="preserve"> </w:t>
            </w:r>
            <w:r w:rsidRPr="007E366D">
              <w:rPr>
                <w:rFonts w:ascii="Century Gothic" w:hAnsi="Century Gothic"/>
                <w:szCs w:val="21"/>
              </w:rPr>
              <w:t>be</w:t>
            </w:r>
            <w:r w:rsidRPr="0072634D">
              <w:rPr>
                <w:rFonts w:ascii="Century Gothic" w:hAnsi="Century Gothic"/>
                <w:szCs w:val="21"/>
              </w:rPr>
              <w:t xml:space="preserve"> </w:t>
            </w:r>
            <w:r w:rsidRPr="007E366D">
              <w:rPr>
                <w:rFonts w:ascii="Century Gothic" w:hAnsi="Century Gothic"/>
                <w:szCs w:val="21"/>
              </w:rPr>
              <w:t>able</w:t>
            </w:r>
            <w:r w:rsidRPr="0072634D">
              <w:rPr>
                <w:rFonts w:ascii="Century Gothic" w:hAnsi="Century Gothic"/>
                <w:szCs w:val="21"/>
              </w:rPr>
              <w:t xml:space="preserve"> </w:t>
            </w:r>
            <w:r w:rsidRPr="007E366D">
              <w:rPr>
                <w:rFonts w:ascii="Century Gothic" w:hAnsi="Century Gothic"/>
                <w:szCs w:val="21"/>
              </w:rPr>
              <w:t>to</w:t>
            </w:r>
            <w:r w:rsidRPr="0072634D">
              <w:rPr>
                <w:rFonts w:ascii="Century Gothic" w:hAnsi="Century Gothic"/>
                <w:szCs w:val="21"/>
              </w:rPr>
              <w:t xml:space="preserve"> </w:t>
            </w:r>
            <w:r w:rsidRPr="007E366D">
              <w:rPr>
                <w:rFonts w:ascii="Century Gothic" w:hAnsi="Century Gothic"/>
                <w:szCs w:val="21"/>
              </w:rPr>
              <w:t>bear</w:t>
            </w:r>
            <w:r w:rsidRPr="0072634D">
              <w:rPr>
                <w:rFonts w:ascii="Century Gothic" w:hAnsi="Century Gothic"/>
                <w:szCs w:val="21"/>
              </w:rPr>
              <w:t xml:space="preserve"> </w:t>
            </w:r>
            <w:r w:rsidRPr="007E366D">
              <w:rPr>
                <w:rFonts w:ascii="Century Gothic" w:hAnsi="Century Gothic"/>
                <w:szCs w:val="21"/>
              </w:rPr>
              <w:t>a</w:t>
            </w:r>
            <w:r w:rsidRPr="0072634D">
              <w:rPr>
                <w:rFonts w:ascii="Century Gothic" w:hAnsi="Century Gothic"/>
                <w:szCs w:val="21"/>
              </w:rPr>
              <w:t xml:space="preserve"> </w:t>
            </w:r>
            <w:r w:rsidRPr="007E366D">
              <w:rPr>
                <w:rFonts w:ascii="Century Gothic" w:hAnsi="Century Gothic"/>
                <w:szCs w:val="21"/>
              </w:rPr>
              <w:t>loss of</w:t>
            </w:r>
            <w:r w:rsidRPr="0072634D">
              <w:rPr>
                <w:rFonts w:ascii="Century Gothic" w:hAnsi="Century Gothic"/>
                <w:szCs w:val="21"/>
              </w:rPr>
              <w:t xml:space="preserve"> </w:t>
            </w:r>
            <w:r w:rsidRPr="007E366D">
              <w:rPr>
                <w:rFonts w:ascii="Century Gothic" w:hAnsi="Century Gothic"/>
                <w:szCs w:val="21"/>
              </w:rPr>
              <w:t>some</w:t>
            </w:r>
            <w:r w:rsidRPr="0072634D">
              <w:rPr>
                <w:rFonts w:ascii="Century Gothic" w:hAnsi="Century Gothic"/>
                <w:szCs w:val="21"/>
              </w:rPr>
              <w:t xml:space="preserve"> </w:t>
            </w:r>
            <w:r w:rsidRPr="007E366D">
              <w:rPr>
                <w:rFonts w:ascii="Century Gothic" w:hAnsi="Century Gothic"/>
                <w:szCs w:val="21"/>
              </w:rPr>
              <w:t>or</w:t>
            </w:r>
            <w:r w:rsidRPr="0072634D">
              <w:rPr>
                <w:rFonts w:ascii="Century Gothic" w:hAnsi="Century Gothic"/>
                <w:szCs w:val="21"/>
              </w:rPr>
              <w:t xml:space="preserve"> </w:t>
            </w:r>
            <w:r w:rsidRPr="007E366D">
              <w:rPr>
                <w:rFonts w:ascii="Century Gothic" w:hAnsi="Century Gothic"/>
                <w:szCs w:val="21"/>
              </w:rPr>
              <w:t>all of</w:t>
            </w:r>
            <w:r w:rsidRPr="0072634D">
              <w:rPr>
                <w:rFonts w:ascii="Century Gothic" w:hAnsi="Century Gothic"/>
                <w:szCs w:val="21"/>
              </w:rPr>
              <w:t xml:space="preserve"> </w:t>
            </w:r>
            <w:r w:rsidRPr="007E366D">
              <w:rPr>
                <w:rFonts w:ascii="Century Gothic" w:hAnsi="Century Gothic"/>
                <w:szCs w:val="21"/>
              </w:rPr>
              <w:t>the</w:t>
            </w:r>
            <w:r w:rsidRPr="0072634D">
              <w:rPr>
                <w:rFonts w:ascii="Century Gothic" w:hAnsi="Century Gothic"/>
                <w:szCs w:val="21"/>
              </w:rPr>
              <w:t xml:space="preserve"> </w:t>
            </w:r>
            <w:r w:rsidRPr="007E366D">
              <w:rPr>
                <w:rFonts w:ascii="Century Gothic" w:hAnsi="Century Gothic"/>
                <w:szCs w:val="21"/>
              </w:rPr>
              <w:t>investment.</w:t>
            </w:r>
            <w:r w:rsidR="00285C04" w:rsidRPr="007E366D">
              <w:rPr>
                <w:rFonts w:ascii="Century Gothic" w:hAnsi="Century Gothic"/>
                <w:szCs w:val="21"/>
              </w:rPr>
              <w:t xml:space="preserve"> Investors should also have a sufficient level of financial literacy </w:t>
            </w:r>
            <w:r w:rsidR="007126EF" w:rsidRPr="007E366D">
              <w:rPr>
                <w:rFonts w:ascii="Century Gothic" w:hAnsi="Century Gothic"/>
                <w:szCs w:val="21"/>
              </w:rPr>
              <w:t xml:space="preserve">and resources (either alone or in conjunction with an appropriate adviser) </w:t>
            </w:r>
            <w:r w:rsidR="00285C04" w:rsidRPr="007E366D">
              <w:rPr>
                <w:rFonts w:ascii="Century Gothic" w:hAnsi="Century Gothic"/>
                <w:szCs w:val="21"/>
              </w:rPr>
              <w:t xml:space="preserve">to understand and appreciate the risks of investing in </w:t>
            </w:r>
            <w:r w:rsidR="00484E91" w:rsidRPr="00484E91">
              <w:rPr>
                <w:rFonts w:ascii="Century Gothic" w:hAnsi="Century Gothic"/>
                <w:szCs w:val="21"/>
              </w:rPr>
              <w:t xml:space="preserve">New </w:t>
            </w:r>
            <w:r w:rsidR="00DB0ECD" w:rsidRPr="007E366D">
              <w:rPr>
                <w:rFonts w:ascii="Century Gothic" w:hAnsi="Century Gothic"/>
                <w:szCs w:val="21"/>
              </w:rPr>
              <w:t>Options</w:t>
            </w:r>
            <w:r w:rsidR="00285C04" w:rsidRPr="007E366D">
              <w:rPr>
                <w:rFonts w:ascii="Century Gothic" w:hAnsi="Century Gothic"/>
                <w:szCs w:val="21"/>
              </w:rPr>
              <w:t xml:space="preserve"> as an asset class generally and the more specific risks of investing in </w:t>
            </w:r>
            <w:r w:rsidR="00DB0ECD" w:rsidRPr="007E366D">
              <w:rPr>
                <w:rFonts w:ascii="Century Gothic" w:hAnsi="Century Gothic"/>
                <w:szCs w:val="21"/>
              </w:rPr>
              <w:t>a</w:t>
            </w:r>
            <w:r w:rsidR="007126EF" w:rsidRPr="007E366D">
              <w:rPr>
                <w:rFonts w:ascii="Century Gothic" w:hAnsi="Century Gothic"/>
                <w:szCs w:val="21"/>
              </w:rPr>
              <w:t>n Australian</w:t>
            </w:r>
            <w:r w:rsidR="00DB0ECD" w:rsidRPr="007E366D">
              <w:rPr>
                <w:rFonts w:ascii="Century Gothic" w:hAnsi="Century Gothic"/>
                <w:szCs w:val="21"/>
              </w:rPr>
              <w:t xml:space="preserve"> listed</w:t>
            </w:r>
            <w:r w:rsidR="00A40B76">
              <w:rPr>
                <w:rFonts w:ascii="Century Gothic" w:hAnsi="Century Gothic"/>
                <w:szCs w:val="21"/>
              </w:rPr>
              <w:t xml:space="preserve"> biotech</w:t>
            </w:r>
            <w:r w:rsidR="00947273" w:rsidRPr="007E366D">
              <w:rPr>
                <w:rFonts w:ascii="Century Gothic" w:hAnsi="Century Gothic"/>
                <w:szCs w:val="21"/>
              </w:rPr>
              <w:t xml:space="preserve"> </w:t>
            </w:r>
            <w:r w:rsidR="00DB0ECD" w:rsidRPr="007E366D">
              <w:rPr>
                <w:rFonts w:ascii="Century Gothic" w:hAnsi="Century Gothic"/>
                <w:szCs w:val="21"/>
              </w:rPr>
              <w:t>company</w:t>
            </w:r>
            <w:r w:rsidR="00285C04" w:rsidRPr="007E366D">
              <w:rPr>
                <w:rFonts w:ascii="Century Gothic" w:hAnsi="Century Gothic"/>
                <w:szCs w:val="21"/>
              </w:rPr>
              <w:t>.</w:t>
            </w:r>
          </w:p>
        </w:tc>
      </w:tr>
    </w:tbl>
    <w:p w14:paraId="58C4110B" w14:textId="0D6F1732" w:rsidR="00FF2736" w:rsidRPr="00D406CF" w:rsidRDefault="00301C89" w:rsidP="00285C04">
      <w:pPr>
        <w:pStyle w:val="Heading1"/>
        <w:spacing w:before="240"/>
      </w:pPr>
      <w:bookmarkStart w:id="2" w:name="_Toc83886625"/>
      <w:r w:rsidRPr="00D406CF">
        <w:t>Distribution Conditions</w:t>
      </w:r>
      <w:bookmarkEnd w:id="2"/>
    </w:p>
    <w:p w14:paraId="1C3AAFC4" w14:textId="3B851CC0" w:rsidR="00286B79" w:rsidRPr="00D406CF" w:rsidRDefault="00321A63" w:rsidP="00321A63">
      <w:pPr>
        <w:pStyle w:val="BodyText2"/>
      </w:pPr>
      <w:r w:rsidRPr="00D406CF">
        <w:t>The offer of</w:t>
      </w:r>
      <w:r w:rsidR="00484E91" w:rsidRPr="00484E91">
        <w:rPr>
          <w:szCs w:val="21"/>
        </w:rPr>
        <w:t xml:space="preserve"> New</w:t>
      </w:r>
      <w:r w:rsidRPr="00D406CF">
        <w:t xml:space="preserve"> Options under the Prospectus is being made to those shareholders in the Company registered at the record date specified in the Prospectus</w:t>
      </w:r>
      <w:r w:rsidR="00286B79" w:rsidRPr="00D406CF">
        <w:t xml:space="preserve"> (</w:t>
      </w:r>
      <w:r w:rsidR="00286B79" w:rsidRPr="00D406CF">
        <w:rPr>
          <w:b/>
          <w:bCs/>
        </w:rPr>
        <w:t>Eligible Shareholders</w:t>
      </w:r>
      <w:r w:rsidR="00286B79" w:rsidRPr="00D406CF">
        <w:t>)</w:t>
      </w:r>
      <w:r w:rsidRPr="00D406CF">
        <w:t xml:space="preserve">. </w:t>
      </w:r>
    </w:p>
    <w:p w14:paraId="307ADC7B" w14:textId="7ECB2763" w:rsidR="00321A63" w:rsidRPr="00D406CF" w:rsidRDefault="00321A63" w:rsidP="00321A63">
      <w:pPr>
        <w:pStyle w:val="BodyText2"/>
      </w:pPr>
      <w:r w:rsidRPr="00D406CF">
        <w:t>Any entitlement not taken up under the offer</w:t>
      </w:r>
      <w:r w:rsidR="00286B79" w:rsidRPr="00D406CF">
        <w:t xml:space="preserve"> will form a shortfall offer (</w:t>
      </w:r>
      <w:r w:rsidR="00286B79" w:rsidRPr="00D406CF">
        <w:rPr>
          <w:b/>
          <w:bCs/>
        </w:rPr>
        <w:t>Shortfall Offer</w:t>
      </w:r>
      <w:r w:rsidR="00286B79" w:rsidRPr="00D406CF">
        <w:t xml:space="preserve">). Eligible Shareholders may also subscribe for </w:t>
      </w:r>
      <w:r w:rsidR="00484E91" w:rsidRPr="00484E91">
        <w:rPr>
          <w:szCs w:val="21"/>
        </w:rPr>
        <w:t xml:space="preserve">New </w:t>
      </w:r>
      <w:r w:rsidR="00286B79" w:rsidRPr="00D406CF">
        <w:t xml:space="preserve">Options above their entitlement under the Shortfall Offer. In addition, </w:t>
      </w:r>
      <w:r w:rsidR="00A40B76" w:rsidRPr="00D406CF">
        <w:t>Canaccord Genuity (Australia) Limited (AFSL 234666)</w:t>
      </w:r>
      <w:r w:rsidR="00D406CF" w:rsidRPr="00D406CF">
        <w:t xml:space="preserve">, </w:t>
      </w:r>
      <w:r w:rsidR="00286B79" w:rsidRPr="00D406CF">
        <w:t>as underwriter</w:t>
      </w:r>
      <w:r w:rsidR="00A40B76" w:rsidRPr="00D406CF">
        <w:t xml:space="preserve"> and </w:t>
      </w:r>
      <w:r w:rsidR="003D0979" w:rsidRPr="00D406CF">
        <w:t>lead manager</w:t>
      </w:r>
      <w:r w:rsidR="00286B79" w:rsidRPr="00D406CF">
        <w:t xml:space="preserve"> to the </w:t>
      </w:r>
      <w:r w:rsidR="00484E91">
        <w:t>O</w:t>
      </w:r>
      <w:r w:rsidR="00286B79" w:rsidRPr="00D406CF">
        <w:t>ffer, may subscribe</w:t>
      </w:r>
      <w:r w:rsidR="003D0979" w:rsidRPr="00D406CF">
        <w:t>, or procure that subscriptions are made by third party investors,</w:t>
      </w:r>
      <w:r w:rsidR="00286B79" w:rsidRPr="00D406CF">
        <w:t xml:space="preserve"> under the Shortfall pursuant to the underwriting agreement</w:t>
      </w:r>
      <w:r w:rsidR="00A40B76" w:rsidRPr="00D406CF">
        <w:t xml:space="preserve"> and </w:t>
      </w:r>
      <w:r w:rsidR="003D0979" w:rsidRPr="00D406CF">
        <w:t>lead manager mandate</w:t>
      </w:r>
      <w:r w:rsidR="00A40B76" w:rsidRPr="00D406CF">
        <w:t xml:space="preserve">. </w:t>
      </w:r>
    </w:p>
    <w:p w14:paraId="5331B342" w14:textId="7D752772" w:rsidR="00321A63" w:rsidRPr="00D406CF" w:rsidRDefault="00321A63" w:rsidP="00321A63">
      <w:pPr>
        <w:pStyle w:val="BodyText2"/>
      </w:pPr>
      <w:r w:rsidRPr="00D406CF">
        <w:t xml:space="preserve">The Prospectus will include jurisdictional conditions on eligibility. The Company will also include on its web landing page for the offer of </w:t>
      </w:r>
      <w:r w:rsidR="00484E91" w:rsidRPr="00484E91">
        <w:rPr>
          <w:szCs w:val="21"/>
        </w:rPr>
        <w:t xml:space="preserve">New </w:t>
      </w:r>
      <w:r w:rsidRPr="00D406CF">
        <w:t xml:space="preserve">Options a copy of this TMD and require that retail clients confirm that they meet the eligibility criteria of the expected target market outlined in this TMD before they apply for </w:t>
      </w:r>
      <w:r w:rsidR="00484E91" w:rsidRPr="00484E91">
        <w:rPr>
          <w:szCs w:val="21"/>
        </w:rPr>
        <w:t xml:space="preserve">New </w:t>
      </w:r>
      <w:r w:rsidRPr="00D406CF">
        <w:t>Options.</w:t>
      </w:r>
    </w:p>
    <w:p w14:paraId="34F5B4CD" w14:textId="127744BE" w:rsidR="00321A63" w:rsidRPr="007E366D" w:rsidRDefault="00321A63" w:rsidP="007949C9">
      <w:pPr>
        <w:pStyle w:val="BodyText2"/>
      </w:pPr>
      <w:r w:rsidRPr="00D406CF">
        <w:lastRenderedPageBreak/>
        <w:t xml:space="preserve">The Company considers that these distribution conditions will ensure that persons who invest in </w:t>
      </w:r>
      <w:r w:rsidR="00484E91" w:rsidRPr="00484E91">
        <w:rPr>
          <w:szCs w:val="21"/>
        </w:rPr>
        <w:t xml:space="preserve">New </w:t>
      </w:r>
      <w:r w:rsidRPr="00D406CF">
        <w:t>Options fall within the target market in circumstances where personal advice is not being provided to those persons by the Company.</w:t>
      </w:r>
    </w:p>
    <w:p w14:paraId="3A0CA40F" w14:textId="15341D2C" w:rsidR="00FF2736" w:rsidRPr="007E366D" w:rsidRDefault="00301C89" w:rsidP="00285C04">
      <w:pPr>
        <w:pStyle w:val="Heading1"/>
      </w:pPr>
      <w:bookmarkStart w:id="3" w:name="_Toc83885360"/>
      <w:bookmarkStart w:id="4" w:name="_Toc83886626"/>
      <w:r w:rsidRPr="007E366D">
        <w:t>Review Triggers</w:t>
      </w:r>
      <w:bookmarkEnd w:id="3"/>
      <w:bookmarkEnd w:id="4"/>
    </w:p>
    <w:p w14:paraId="11FE9397" w14:textId="161F0328" w:rsidR="00FF2736" w:rsidRPr="007E366D" w:rsidRDefault="00301C89" w:rsidP="0001082D">
      <w:pPr>
        <w:pStyle w:val="BodyText2"/>
      </w:pPr>
      <w:r w:rsidRPr="007E366D">
        <w:t xml:space="preserve">The </w:t>
      </w:r>
      <w:r w:rsidR="00484E91" w:rsidRPr="00484E91">
        <w:rPr>
          <w:szCs w:val="21"/>
        </w:rPr>
        <w:t xml:space="preserve">New </w:t>
      </w:r>
      <w:r w:rsidR="00DB0ECD" w:rsidRPr="007E366D">
        <w:t>Options</w:t>
      </w:r>
      <w:r w:rsidRPr="007E366D">
        <w:t xml:space="preserve"> are being offered for a limited offer period set out in the Prospectus, after the conclusion of which the </w:t>
      </w:r>
      <w:r w:rsidR="00484E91" w:rsidRPr="00484E91">
        <w:rPr>
          <w:szCs w:val="21"/>
        </w:rPr>
        <w:t xml:space="preserve">New </w:t>
      </w:r>
      <w:r w:rsidR="00DB0ECD" w:rsidRPr="007E366D">
        <w:t>Option</w:t>
      </w:r>
      <w:r w:rsidRPr="007E366D">
        <w:t>s will no longer be available for investment by way of issue. It follows that the TMD will only apply in the period</w:t>
      </w:r>
      <w:r w:rsidR="00DB0ECD" w:rsidRPr="007E366D">
        <w:t xml:space="preserve"> </w:t>
      </w:r>
      <w:r w:rsidRPr="007E366D">
        <w:t xml:space="preserve">between the commencement of the offer of the </w:t>
      </w:r>
      <w:r w:rsidR="00484E91" w:rsidRPr="00484E91">
        <w:rPr>
          <w:szCs w:val="21"/>
        </w:rPr>
        <w:t xml:space="preserve">New </w:t>
      </w:r>
      <w:r w:rsidR="00DB0ECD" w:rsidRPr="007E366D">
        <w:t>Option</w:t>
      </w:r>
      <w:r w:rsidRPr="007E366D">
        <w:t xml:space="preserve">s and the issue of the </w:t>
      </w:r>
      <w:r w:rsidR="00484E91" w:rsidRPr="00484E91">
        <w:rPr>
          <w:szCs w:val="21"/>
        </w:rPr>
        <w:t xml:space="preserve">New </w:t>
      </w:r>
      <w:r w:rsidR="00DB0ECD" w:rsidRPr="007E366D">
        <w:t>Options</w:t>
      </w:r>
      <w:r w:rsidRPr="007E366D">
        <w:t xml:space="preserve"> shortly after the close of the </w:t>
      </w:r>
      <w:r w:rsidR="00A52BC5">
        <w:t>o</w:t>
      </w:r>
      <w:r w:rsidRPr="007E366D">
        <w:t>ffer (</w:t>
      </w:r>
      <w:r w:rsidRPr="007E366D">
        <w:rPr>
          <w:b/>
          <w:bCs/>
        </w:rPr>
        <w:t>Offer</w:t>
      </w:r>
      <w:r w:rsidRPr="0072634D">
        <w:rPr>
          <w:b/>
        </w:rPr>
        <w:t xml:space="preserve"> </w:t>
      </w:r>
      <w:r w:rsidRPr="007E366D">
        <w:rPr>
          <w:b/>
        </w:rPr>
        <w:t>Period</w:t>
      </w:r>
      <w:r w:rsidRPr="007E366D">
        <w:t>).</w:t>
      </w:r>
    </w:p>
    <w:p w14:paraId="78985D7A" w14:textId="2DD4DDDF" w:rsidR="00FF2736" w:rsidRPr="007E366D" w:rsidRDefault="00301C89" w:rsidP="0001082D">
      <w:pPr>
        <w:pStyle w:val="BodyText2"/>
        <w:keepNext/>
      </w:pPr>
      <w:r w:rsidRPr="007E366D">
        <w:t>To allow the Company to determine whether circumstances exist that indicate this TMD is no longer appropriate to the</w:t>
      </w:r>
      <w:r w:rsidR="00DB0ECD" w:rsidRPr="007E366D">
        <w:t xml:space="preserve"> </w:t>
      </w:r>
      <w:r w:rsidR="00484E91" w:rsidRPr="00484E91">
        <w:rPr>
          <w:szCs w:val="21"/>
        </w:rPr>
        <w:t xml:space="preserve">New </w:t>
      </w:r>
      <w:r w:rsidR="00DB0ECD" w:rsidRPr="007E366D">
        <w:t>Options</w:t>
      </w:r>
      <w:r w:rsidRPr="0072634D">
        <w:t xml:space="preserve"> </w:t>
      </w:r>
      <w:r w:rsidRPr="007E366D">
        <w:t>and</w:t>
      </w:r>
      <w:r w:rsidRPr="0072634D">
        <w:t xml:space="preserve"> </w:t>
      </w:r>
      <w:r w:rsidRPr="007E366D">
        <w:t>should</w:t>
      </w:r>
      <w:r w:rsidRPr="0072634D">
        <w:t xml:space="preserve"> </w:t>
      </w:r>
      <w:r w:rsidRPr="007E366D">
        <w:t>be</w:t>
      </w:r>
      <w:r w:rsidRPr="0072634D">
        <w:t xml:space="preserve"> </w:t>
      </w:r>
      <w:r w:rsidRPr="007E366D">
        <w:t>reviewed,</w:t>
      </w:r>
      <w:r w:rsidRPr="0072634D">
        <w:t xml:space="preserve"> </w:t>
      </w:r>
      <w:r w:rsidRPr="007E366D">
        <w:t>the</w:t>
      </w:r>
      <w:r w:rsidRPr="0072634D">
        <w:t xml:space="preserve"> </w:t>
      </w:r>
      <w:r w:rsidRPr="007E366D">
        <w:t>following review</w:t>
      </w:r>
      <w:r w:rsidRPr="0072634D">
        <w:t xml:space="preserve"> </w:t>
      </w:r>
      <w:r w:rsidRPr="007E366D">
        <w:t>triggers</w:t>
      </w:r>
      <w:r w:rsidRPr="0072634D">
        <w:t xml:space="preserve"> </w:t>
      </w:r>
      <w:r w:rsidRPr="007E366D">
        <w:t>apply</w:t>
      </w:r>
      <w:r w:rsidRPr="0072634D">
        <w:t xml:space="preserve"> </w:t>
      </w:r>
      <w:r w:rsidRPr="007E366D">
        <w:t>for</w:t>
      </w:r>
      <w:r w:rsidRPr="0072634D">
        <w:t xml:space="preserve"> </w:t>
      </w:r>
      <w:r w:rsidRPr="007E366D">
        <w:t>the</w:t>
      </w:r>
      <w:r w:rsidRPr="0072634D">
        <w:t xml:space="preserve"> </w:t>
      </w:r>
      <w:r w:rsidRPr="007E366D">
        <w:t>Offer</w:t>
      </w:r>
      <w:r w:rsidRPr="0072634D">
        <w:t xml:space="preserve"> </w:t>
      </w:r>
      <w:r w:rsidRPr="007E366D">
        <w:t>Period:</w:t>
      </w:r>
    </w:p>
    <w:p w14:paraId="2997F42E" w14:textId="5E30E372" w:rsidR="006A0233" w:rsidRPr="007E366D" w:rsidRDefault="006A0233" w:rsidP="0001082D">
      <w:pPr>
        <w:pStyle w:val="Heading3"/>
      </w:pPr>
      <w:r w:rsidRPr="007E366D">
        <w:t>a new offer of</w:t>
      </w:r>
      <w:r w:rsidR="00484E91" w:rsidRPr="00484E91">
        <w:rPr>
          <w:szCs w:val="21"/>
        </w:rPr>
        <w:t xml:space="preserve"> New</w:t>
      </w:r>
      <w:r w:rsidRPr="007E366D">
        <w:t xml:space="preserve"> Options that requires preparation of a disclosure document is made after completion of the Offer Period;</w:t>
      </w:r>
    </w:p>
    <w:p w14:paraId="25BDBE5D" w14:textId="41D87F49" w:rsidR="00FF2736" w:rsidRPr="007E366D" w:rsidRDefault="00301C89" w:rsidP="0001082D">
      <w:pPr>
        <w:pStyle w:val="Heading3"/>
      </w:pPr>
      <w:r w:rsidRPr="007E366D">
        <w:t>any</w:t>
      </w:r>
      <w:r w:rsidRPr="0072634D">
        <w:t xml:space="preserve"> </w:t>
      </w:r>
      <w:r w:rsidRPr="007E366D">
        <w:t>event or circumstance</w:t>
      </w:r>
      <w:r w:rsidRPr="0072634D">
        <w:t xml:space="preserve"> </w:t>
      </w:r>
      <w:r w:rsidRPr="007E366D">
        <w:t>that</w:t>
      </w:r>
      <w:r w:rsidRPr="0072634D">
        <w:t xml:space="preserve"> </w:t>
      </w:r>
      <w:r w:rsidRPr="007E366D">
        <w:t>would</w:t>
      </w:r>
      <w:r w:rsidRPr="0072634D">
        <w:t xml:space="preserve"> </w:t>
      </w:r>
      <w:r w:rsidRPr="007E366D">
        <w:t>materially</w:t>
      </w:r>
      <w:r w:rsidRPr="0072634D">
        <w:t xml:space="preserve"> </w:t>
      </w:r>
      <w:r w:rsidRPr="007E366D">
        <w:t>change</w:t>
      </w:r>
      <w:r w:rsidRPr="0072634D">
        <w:t xml:space="preserve"> </w:t>
      </w:r>
      <w:r w:rsidRPr="007E366D">
        <w:t>a</w:t>
      </w:r>
      <w:r w:rsidRPr="0072634D">
        <w:t xml:space="preserve"> </w:t>
      </w:r>
      <w:r w:rsidRPr="007E366D">
        <w:t>factor</w:t>
      </w:r>
      <w:r w:rsidRPr="0072634D">
        <w:t xml:space="preserve"> </w:t>
      </w:r>
      <w:r w:rsidRPr="007E366D">
        <w:t>taken</w:t>
      </w:r>
      <w:r w:rsidRPr="0072634D">
        <w:t xml:space="preserve"> </w:t>
      </w:r>
      <w:r w:rsidRPr="007E366D">
        <w:t>into</w:t>
      </w:r>
      <w:r w:rsidRPr="0072634D">
        <w:t xml:space="preserve"> </w:t>
      </w:r>
      <w:r w:rsidRPr="007E366D">
        <w:t>account</w:t>
      </w:r>
      <w:r w:rsidRPr="0072634D">
        <w:t xml:space="preserve"> </w:t>
      </w:r>
      <w:r w:rsidRPr="007E366D">
        <w:t>in</w:t>
      </w:r>
      <w:r w:rsidRPr="0072634D">
        <w:t xml:space="preserve"> </w:t>
      </w:r>
      <w:r w:rsidRPr="007E366D">
        <w:t>making</w:t>
      </w:r>
      <w:r w:rsidRPr="0072634D">
        <w:t xml:space="preserve"> </w:t>
      </w:r>
      <w:r w:rsidRPr="007E366D">
        <w:t>this</w:t>
      </w:r>
      <w:r w:rsidRPr="0072634D">
        <w:t xml:space="preserve"> </w:t>
      </w:r>
      <w:r w:rsidRPr="007E366D">
        <w:t>TMD;</w:t>
      </w:r>
    </w:p>
    <w:p w14:paraId="6601A9CA" w14:textId="50F36B91" w:rsidR="00FF2736" w:rsidRPr="007E366D" w:rsidRDefault="00301C89" w:rsidP="0001082D">
      <w:pPr>
        <w:pStyle w:val="Heading3"/>
      </w:pPr>
      <w:r w:rsidRPr="007E366D">
        <w:t>the</w:t>
      </w:r>
      <w:r w:rsidRPr="0072634D">
        <w:t xml:space="preserve"> </w:t>
      </w:r>
      <w:r w:rsidRPr="007E366D">
        <w:t>existence</w:t>
      </w:r>
      <w:r w:rsidRPr="0072634D">
        <w:t xml:space="preserve"> </w:t>
      </w:r>
      <w:r w:rsidRPr="007E366D">
        <w:t>of a</w:t>
      </w:r>
      <w:r w:rsidRPr="0072634D">
        <w:t xml:space="preserve"> </w:t>
      </w:r>
      <w:r w:rsidRPr="007E366D">
        <w:t>significant</w:t>
      </w:r>
      <w:r w:rsidRPr="0072634D">
        <w:t xml:space="preserve"> </w:t>
      </w:r>
      <w:r w:rsidRPr="007E366D">
        <w:t>dealing of</w:t>
      </w:r>
      <w:r w:rsidRPr="0072634D">
        <w:t xml:space="preserve"> </w:t>
      </w:r>
      <w:r w:rsidRPr="007E366D">
        <w:t>the</w:t>
      </w:r>
      <w:r w:rsidRPr="0072634D">
        <w:t xml:space="preserve"> </w:t>
      </w:r>
      <w:r w:rsidR="00484E91" w:rsidRPr="00484E91">
        <w:rPr>
          <w:szCs w:val="21"/>
        </w:rPr>
        <w:t xml:space="preserve">New </w:t>
      </w:r>
      <w:r w:rsidR="00DB0ECD" w:rsidRPr="007E366D">
        <w:t>Options</w:t>
      </w:r>
      <w:r w:rsidRPr="0072634D">
        <w:t xml:space="preserve"> </w:t>
      </w:r>
      <w:r w:rsidRPr="007E366D">
        <w:t>that</w:t>
      </w:r>
      <w:r w:rsidRPr="0072634D">
        <w:t xml:space="preserve"> </w:t>
      </w:r>
      <w:r w:rsidRPr="007E366D">
        <w:t>is</w:t>
      </w:r>
      <w:r w:rsidRPr="0072634D">
        <w:t xml:space="preserve"> </w:t>
      </w:r>
      <w:r w:rsidRPr="007E366D">
        <w:t>not</w:t>
      </w:r>
      <w:r w:rsidRPr="0072634D">
        <w:t xml:space="preserve"> </w:t>
      </w:r>
      <w:r w:rsidRPr="007E366D">
        <w:t>consistent with</w:t>
      </w:r>
      <w:r w:rsidRPr="0072634D">
        <w:t xml:space="preserve"> </w:t>
      </w:r>
      <w:r w:rsidRPr="007E366D">
        <w:t>this TMD</w:t>
      </w:r>
      <w:r w:rsidR="00F465F3" w:rsidRPr="007E366D">
        <w:t xml:space="preserve">. The Company does not consider that an on-sale of the </w:t>
      </w:r>
      <w:r w:rsidR="00484E91" w:rsidRPr="00484E91">
        <w:rPr>
          <w:szCs w:val="21"/>
        </w:rPr>
        <w:t xml:space="preserve">New </w:t>
      </w:r>
      <w:r w:rsidR="00F465F3" w:rsidRPr="007E366D">
        <w:t>Options on market is a significant dealing</w:t>
      </w:r>
      <w:r w:rsidRPr="007E366D">
        <w:t>;</w:t>
      </w:r>
    </w:p>
    <w:p w14:paraId="491E885C" w14:textId="25727DEF" w:rsidR="00FF2736" w:rsidRPr="007E366D" w:rsidRDefault="00301C89" w:rsidP="0001082D">
      <w:pPr>
        <w:pStyle w:val="Heading3"/>
      </w:pPr>
      <w:r w:rsidRPr="007E366D">
        <w:t xml:space="preserve">ASIC raises concerns with the Company regarding the adequacy of the design or distribution of the </w:t>
      </w:r>
      <w:r w:rsidR="00484E91" w:rsidRPr="00484E91">
        <w:rPr>
          <w:szCs w:val="21"/>
        </w:rPr>
        <w:t xml:space="preserve">New </w:t>
      </w:r>
      <w:r w:rsidR="00DB0ECD" w:rsidRPr="007E366D">
        <w:t>Option</w:t>
      </w:r>
      <w:r w:rsidRPr="007E366D">
        <w:t>s or</w:t>
      </w:r>
      <w:r w:rsidR="00DB0ECD" w:rsidRPr="007E366D">
        <w:t xml:space="preserve"> </w:t>
      </w:r>
      <w:r w:rsidRPr="007E366D">
        <w:t>this</w:t>
      </w:r>
      <w:r w:rsidRPr="0072634D">
        <w:t xml:space="preserve"> </w:t>
      </w:r>
      <w:r w:rsidRPr="007E366D">
        <w:t>TMD;</w:t>
      </w:r>
      <w:r w:rsidRPr="0072634D">
        <w:t xml:space="preserve"> </w:t>
      </w:r>
      <w:r w:rsidRPr="007E366D">
        <w:t>and</w:t>
      </w:r>
    </w:p>
    <w:p w14:paraId="5539C549" w14:textId="3455EEA6" w:rsidR="00FF2736" w:rsidRPr="007E366D" w:rsidRDefault="00301C89" w:rsidP="0001082D">
      <w:pPr>
        <w:pStyle w:val="Heading3"/>
      </w:pPr>
      <w:r w:rsidRPr="007E366D">
        <w:t>material</w:t>
      </w:r>
      <w:r w:rsidRPr="0072634D">
        <w:t xml:space="preserve"> </w:t>
      </w:r>
      <w:r w:rsidRPr="007E366D">
        <w:t>changes</w:t>
      </w:r>
      <w:r w:rsidRPr="0072634D">
        <w:t xml:space="preserve"> </w:t>
      </w:r>
      <w:r w:rsidRPr="007E366D">
        <w:t>to</w:t>
      </w:r>
      <w:r w:rsidRPr="0072634D">
        <w:t xml:space="preserve"> </w:t>
      </w:r>
      <w:r w:rsidRPr="007E366D">
        <w:t>the</w:t>
      </w:r>
      <w:r w:rsidRPr="0072634D">
        <w:t xml:space="preserve"> </w:t>
      </w:r>
      <w:r w:rsidRPr="007E366D">
        <w:t>regulatory</w:t>
      </w:r>
      <w:r w:rsidRPr="0072634D">
        <w:t xml:space="preserve"> </w:t>
      </w:r>
      <w:r w:rsidRPr="007E366D">
        <w:t>environment</w:t>
      </w:r>
      <w:r w:rsidRPr="0072634D">
        <w:t xml:space="preserve"> </w:t>
      </w:r>
      <w:r w:rsidRPr="007E366D">
        <w:t>that</w:t>
      </w:r>
      <w:r w:rsidRPr="0072634D">
        <w:t xml:space="preserve"> </w:t>
      </w:r>
      <w:r w:rsidRPr="007E366D">
        <w:t>applies</w:t>
      </w:r>
      <w:r w:rsidRPr="0072634D">
        <w:t xml:space="preserve"> </w:t>
      </w:r>
      <w:r w:rsidRPr="007E366D">
        <w:t>to an</w:t>
      </w:r>
      <w:r w:rsidRPr="0072634D">
        <w:t xml:space="preserve"> </w:t>
      </w:r>
      <w:r w:rsidRPr="007E366D">
        <w:t>investment</w:t>
      </w:r>
      <w:r w:rsidRPr="0072634D">
        <w:t xml:space="preserve"> </w:t>
      </w:r>
      <w:r w:rsidRPr="007E366D">
        <w:t>in</w:t>
      </w:r>
      <w:r w:rsidRPr="0072634D">
        <w:t xml:space="preserve"> </w:t>
      </w:r>
      <w:r w:rsidRPr="007E366D">
        <w:t>the</w:t>
      </w:r>
      <w:r w:rsidRPr="0072634D">
        <w:t xml:space="preserve"> </w:t>
      </w:r>
      <w:r w:rsidR="00484E91" w:rsidRPr="00484E91">
        <w:rPr>
          <w:szCs w:val="21"/>
        </w:rPr>
        <w:t xml:space="preserve">New </w:t>
      </w:r>
      <w:r w:rsidR="00DB0ECD" w:rsidRPr="0072634D">
        <w:t>Options</w:t>
      </w:r>
      <w:r w:rsidRPr="007E366D">
        <w:t>.</w:t>
      </w:r>
    </w:p>
    <w:p w14:paraId="06316DFA" w14:textId="2B322317" w:rsidR="00FF2736" w:rsidRPr="007E366D" w:rsidRDefault="00301C89" w:rsidP="00285C04">
      <w:pPr>
        <w:pStyle w:val="Heading1"/>
      </w:pPr>
      <w:bookmarkStart w:id="5" w:name="_Toc83885361"/>
      <w:bookmarkStart w:id="6" w:name="_Toc83886627"/>
      <w:r w:rsidRPr="007E366D">
        <w:t>Review</w:t>
      </w:r>
      <w:r w:rsidRPr="0072634D">
        <w:t xml:space="preserve"> </w:t>
      </w:r>
      <w:r w:rsidRPr="007E366D">
        <w:t>Period</w:t>
      </w:r>
      <w:bookmarkEnd w:id="5"/>
      <w:bookmarkEnd w:id="6"/>
    </w:p>
    <w:p w14:paraId="713E41FB" w14:textId="1D476D42" w:rsidR="00FF2736" w:rsidRPr="007E366D" w:rsidRDefault="00301C89" w:rsidP="0001082D">
      <w:pPr>
        <w:pStyle w:val="BodyText2"/>
        <w:rPr>
          <w:sz w:val="19"/>
        </w:rPr>
      </w:pPr>
      <w:r w:rsidRPr="007E366D">
        <w:t>If</w:t>
      </w:r>
      <w:r w:rsidRPr="0072634D">
        <w:t xml:space="preserve"> </w:t>
      </w:r>
      <w:r w:rsidRPr="007E366D">
        <w:t>a</w:t>
      </w:r>
      <w:r w:rsidRPr="0072634D">
        <w:t xml:space="preserve"> </w:t>
      </w:r>
      <w:r w:rsidRPr="007E366D">
        <w:t>review</w:t>
      </w:r>
      <w:r w:rsidRPr="0072634D">
        <w:t xml:space="preserve"> </w:t>
      </w:r>
      <w:r w:rsidRPr="007E366D">
        <w:t>trigger occurs during the</w:t>
      </w:r>
      <w:r w:rsidRPr="0072634D">
        <w:t xml:space="preserve"> </w:t>
      </w:r>
      <w:r w:rsidRPr="007E366D">
        <w:t>Offer</w:t>
      </w:r>
      <w:r w:rsidRPr="0072634D">
        <w:t xml:space="preserve"> </w:t>
      </w:r>
      <w:r w:rsidRPr="007E366D">
        <w:t>Period,</w:t>
      </w:r>
      <w:r w:rsidRPr="0072634D">
        <w:t xml:space="preserve"> </w:t>
      </w:r>
      <w:r w:rsidRPr="007E366D">
        <w:t>the Company</w:t>
      </w:r>
      <w:r w:rsidRPr="0072634D">
        <w:t xml:space="preserve"> </w:t>
      </w:r>
      <w:r w:rsidRPr="007E366D">
        <w:t>will</w:t>
      </w:r>
      <w:r w:rsidRPr="0072634D">
        <w:t xml:space="preserve"> </w:t>
      </w:r>
      <w:r w:rsidRPr="007E366D">
        <w:t>undertake</w:t>
      </w:r>
      <w:r w:rsidRPr="0072634D">
        <w:t xml:space="preserve"> </w:t>
      </w:r>
      <w:r w:rsidRPr="007E366D">
        <w:t>a</w:t>
      </w:r>
      <w:r w:rsidRPr="0072634D">
        <w:t xml:space="preserve"> </w:t>
      </w:r>
      <w:r w:rsidRPr="007E366D">
        <w:t>review</w:t>
      </w:r>
      <w:r w:rsidRPr="0072634D">
        <w:t xml:space="preserve"> </w:t>
      </w:r>
      <w:r w:rsidRPr="007E366D">
        <w:t>of</w:t>
      </w:r>
      <w:r w:rsidRPr="0072634D">
        <w:t xml:space="preserve"> </w:t>
      </w:r>
      <w:r w:rsidRPr="007E366D">
        <w:t>the</w:t>
      </w:r>
      <w:r w:rsidRPr="0072634D">
        <w:t xml:space="preserve"> </w:t>
      </w:r>
      <w:r w:rsidRPr="007E366D">
        <w:t>TMD</w:t>
      </w:r>
      <w:r w:rsidRPr="0072634D">
        <w:t xml:space="preserve"> </w:t>
      </w:r>
      <w:r w:rsidRPr="007E366D">
        <w:t>in light</w:t>
      </w:r>
      <w:r w:rsidRPr="0072634D">
        <w:t xml:space="preserve"> </w:t>
      </w:r>
      <w:r w:rsidRPr="007E366D">
        <w:t>of the review</w:t>
      </w:r>
      <w:r w:rsidRPr="0072634D">
        <w:t xml:space="preserve"> </w:t>
      </w:r>
      <w:r w:rsidRPr="007E366D">
        <w:t>trigger.</w:t>
      </w:r>
    </w:p>
    <w:p w14:paraId="5D0CCC55" w14:textId="3860FD10" w:rsidR="00FF2736" w:rsidRPr="007E366D" w:rsidRDefault="00301C89" w:rsidP="0001082D">
      <w:pPr>
        <w:pStyle w:val="BodyText2"/>
      </w:pPr>
      <w:r w:rsidRPr="007E366D">
        <w:t xml:space="preserve">The Company will otherwise complete a review of the TMD </w:t>
      </w:r>
      <w:r w:rsidR="006A0233" w:rsidRPr="007E366D">
        <w:t xml:space="preserve">immediately prior to the issue of </w:t>
      </w:r>
      <w:r w:rsidR="00484E91" w:rsidRPr="00484E91">
        <w:rPr>
          <w:szCs w:val="21"/>
        </w:rPr>
        <w:t xml:space="preserve">New </w:t>
      </w:r>
      <w:r w:rsidR="006A0233" w:rsidRPr="007E366D">
        <w:t xml:space="preserve">Options under the </w:t>
      </w:r>
      <w:r w:rsidR="00A52BC5">
        <w:t>o</w:t>
      </w:r>
      <w:r w:rsidR="006A0233" w:rsidRPr="007E366D">
        <w:t>ffer.</w:t>
      </w:r>
    </w:p>
    <w:p w14:paraId="4F07CB4B" w14:textId="107674A1" w:rsidR="00FF2736" w:rsidRPr="007E366D" w:rsidRDefault="00301C89" w:rsidP="00285C04">
      <w:pPr>
        <w:pStyle w:val="Heading1"/>
      </w:pPr>
      <w:bookmarkStart w:id="7" w:name="_Toc83885362"/>
      <w:bookmarkStart w:id="8" w:name="_Toc83886628"/>
      <w:r w:rsidRPr="007E366D">
        <w:t>Information</w:t>
      </w:r>
      <w:r w:rsidRPr="0072634D">
        <w:t xml:space="preserve"> </w:t>
      </w:r>
      <w:r w:rsidRPr="007E366D">
        <w:t>Reporting</w:t>
      </w:r>
      <w:bookmarkEnd w:id="7"/>
      <w:bookmarkEnd w:id="8"/>
    </w:p>
    <w:p w14:paraId="790EE418" w14:textId="545C27A4" w:rsidR="00FF2736" w:rsidRPr="007E366D" w:rsidRDefault="00301C89" w:rsidP="0001082D">
      <w:pPr>
        <w:pStyle w:val="BodyText2"/>
      </w:pPr>
      <w:r w:rsidRPr="007E366D">
        <w:t>The</w:t>
      </w:r>
      <w:r w:rsidRPr="0072634D">
        <w:t xml:space="preserve"> </w:t>
      </w:r>
      <w:r w:rsidRPr="007E366D">
        <w:t>reporting</w:t>
      </w:r>
      <w:r w:rsidRPr="0072634D">
        <w:t xml:space="preserve"> </w:t>
      </w:r>
      <w:r w:rsidRPr="007E366D">
        <w:t>requirements</w:t>
      </w:r>
      <w:r w:rsidRPr="0072634D">
        <w:t xml:space="preserve"> </w:t>
      </w:r>
      <w:r w:rsidRPr="007E366D">
        <w:t>of all</w:t>
      </w:r>
      <w:r w:rsidRPr="0072634D">
        <w:t xml:space="preserve"> </w:t>
      </w:r>
      <w:r w:rsidRPr="007E366D">
        <w:t>distributors</w:t>
      </w:r>
      <w:r w:rsidRPr="0072634D">
        <w:t xml:space="preserve"> </w:t>
      </w:r>
      <w:r w:rsidRPr="007E366D">
        <w:t>is</w:t>
      </w:r>
      <w:r w:rsidRPr="0072634D">
        <w:t xml:space="preserve"> </w:t>
      </w:r>
      <w:r w:rsidRPr="007E366D">
        <w:t>set</w:t>
      </w:r>
      <w:r w:rsidRPr="0072634D">
        <w:t xml:space="preserve"> </w:t>
      </w:r>
      <w:r w:rsidRPr="007E366D">
        <w:t>out</w:t>
      </w:r>
      <w:r w:rsidRPr="0072634D">
        <w:t xml:space="preserve"> </w:t>
      </w:r>
      <w:r w:rsidRPr="007E366D">
        <w:t>in</w:t>
      </w:r>
      <w:r w:rsidRPr="0072634D">
        <w:t xml:space="preserve"> </w:t>
      </w:r>
      <w:r w:rsidRPr="007E366D">
        <w:t>the</w:t>
      </w:r>
      <w:r w:rsidRPr="0072634D">
        <w:t xml:space="preserve"> </w:t>
      </w:r>
      <w:r w:rsidRPr="007E366D">
        <w:t>table</w:t>
      </w:r>
      <w:r w:rsidRPr="0072634D">
        <w:t xml:space="preserve"> </w:t>
      </w:r>
      <w:r w:rsidRPr="007E366D">
        <w:t>below.</w:t>
      </w:r>
    </w:p>
    <w:tbl>
      <w:tblPr>
        <w:tblStyle w:val="TableGrid"/>
        <w:tblW w:w="8363" w:type="dxa"/>
        <w:tblInd w:w="8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93"/>
        <w:gridCol w:w="2835"/>
        <w:gridCol w:w="2835"/>
      </w:tblGrid>
      <w:tr w:rsidR="00355418" w:rsidRPr="007E366D" w14:paraId="3C509797" w14:textId="77777777" w:rsidTr="0001082D">
        <w:trPr>
          <w:tblHeader/>
        </w:trPr>
        <w:tc>
          <w:tcPr>
            <w:tcW w:w="2693" w:type="dxa"/>
            <w:shd w:val="clear" w:color="auto" w:fill="17365D" w:themeFill="text2" w:themeFillShade="BF"/>
          </w:tcPr>
          <w:p w14:paraId="6001A3F3" w14:textId="352C73AB" w:rsidR="00355418" w:rsidRPr="007E366D" w:rsidRDefault="00355418" w:rsidP="00355418">
            <w:pPr>
              <w:pStyle w:val="TableText"/>
              <w:rPr>
                <w:b/>
                <w:bCs/>
                <w:color w:val="FFFFFF"/>
              </w:rPr>
            </w:pPr>
            <w:r w:rsidRPr="007E366D">
              <w:rPr>
                <w:b/>
                <w:bCs/>
              </w:rPr>
              <w:t>Reporting requirement</w:t>
            </w:r>
          </w:p>
        </w:tc>
        <w:tc>
          <w:tcPr>
            <w:tcW w:w="2835" w:type="dxa"/>
            <w:shd w:val="clear" w:color="auto" w:fill="17365D" w:themeFill="text2" w:themeFillShade="BF"/>
          </w:tcPr>
          <w:p w14:paraId="39FB81DC" w14:textId="055E496E" w:rsidR="00355418" w:rsidRPr="007E366D" w:rsidRDefault="00355418" w:rsidP="00355418">
            <w:pPr>
              <w:pStyle w:val="TableText"/>
              <w:rPr>
                <w:b/>
                <w:bCs/>
                <w:color w:val="FFFFFF"/>
              </w:rPr>
            </w:pPr>
            <w:r w:rsidRPr="007E366D">
              <w:rPr>
                <w:b/>
                <w:bCs/>
              </w:rPr>
              <w:t>Period for reporting to the Company by the distributor</w:t>
            </w:r>
          </w:p>
        </w:tc>
        <w:tc>
          <w:tcPr>
            <w:tcW w:w="2835" w:type="dxa"/>
            <w:shd w:val="clear" w:color="auto" w:fill="17365D" w:themeFill="text2" w:themeFillShade="BF"/>
          </w:tcPr>
          <w:p w14:paraId="00B1B3EF" w14:textId="0D33C06E" w:rsidR="00355418" w:rsidRPr="007E366D" w:rsidRDefault="00355418" w:rsidP="00355418">
            <w:pPr>
              <w:pStyle w:val="TableText"/>
              <w:rPr>
                <w:b/>
                <w:bCs/>
                <w:color w:val="FFFFFF"/>
              </w:rPr>
            </w:pPr>
            <w:r w:rsidRPr="007E366D">
              <w:rPr>
                <w:b/>
                <w:bCs/>
              </w:rPr>
              <w:t>Information to be provided</w:t>
            </w:r>
          </w:p>
        </w:tc>
      </w:tr>
      <w:tr w:rsidR="00285C04" w:rsidRPr="007E366D" w14:paraId="5E968AE2" w14:textId="77777777" w:rsidTr="0001082D">
        <w:tc>
          <w:tcPr>
            <w:tcW w:w="2693" w:type="dxa"/>
            <w:shd w:val="clear" w:color="auto" w:fill="F2F2F2" w:themeFill="background1" w:themeFillShade="F2"/>
          </w:tcPr>
          <w:p w14:paraId="009C4478" w14:textId="2BE4295D" w:rsidR="00285C04" w:rsidRPr="007E366D" w:rsidRDefault="00355418" w:rsidP="00355418">
            <w:pPr>
              <w:pStyle w:val="BodyText"/>
              <w:spacing w:before="60" w:after="60"/>
            </w:pPr>
            <w:r w:rsidRPr="007E366D">
              <w:t xml:space="preserve">Whether the distributor received complaints about the </w:t>
            </w:r>
            <w:r w:rsidR="00484E91" w:rsidRPr="00484E91">
              <w:rPr>
                <w:szCs w:val="21"/>
              </w:rPr>
              <w:t xml:space="preserve">New </w:t>
            </w:r>
            <w:r w:rsidR="00DB0ECD" w:rsidRPr="007E366D">
              <w:t>Option</w:t>
            </w:r>
            <w:r w:rsidRPr="007E366D">
              <w:t>s.</w:t>
            </w:r>
          </w:p>
        </w:tc>
        <w:tc>
          <w:tcPr>
            <w:tcW w:w="2835" w:type="dxa"/>
            <w:shd w:val="clear" w:color="auto" w:fill="F2F2F2" w:themeFill="background1" w:themeFillShade="F2"/>
          </w:tcPr>
          <w:p w14:paraId="798ABA05" w14:textId="77777777" w:rsidR="00285C04" w:rsidRPr="007E366D" w:rsidRDefault="00355418" w:rsidP="0001082D">
            <w:pPr>
              <w:pStyle w:val="BodyText"/>
              <w:tabs>
                <w:tab w:val="left" w:pos="467"/>
              </w:tabs>
              <w:spacing w:before="60" w:after="60"/>
              <w:ind w:left="467" w:hanging="467"/>
            </w:pPr>
            <w:r w:rsidRPr="007E366D">
              <w:t>•</w:t>
            </w:r>
            <w:r w:rsidRPr="007E366D">
              <w:tab/>
              <w:t>For such time as the Offer Period remains open, within 10 business days after the end of each quarter.</w:t>
            </w:r>
          </w:p>
          <w:p w14:paraId="05FB6E76" w14:textId="38C721BB" w:rsidR="00355418" w:rsidRPr="007E366D" w:rsidRDefault="00355418" w:rsidP="0001082D">
            <w:pPr>
              <w:pStyle w:val="BodyText"/>
              <w:tabs>
                <w:tab w:val="left" w:pos="467"/>
              </w:tabs>
              <w:spacing w:before="60" w:after="60"/>
              <w:ind w:left="467" w:hanging="467"/>
            </w:pPr>
            <w:r w:rsidRPr="007E366D">
              <w:t>•</w:t>
            </w:r>
            <w:r w:rsidRPr="007E366D">
              <w:tab/>
              <w:t>Within 10 business days after the end of the Offer Period.</w:t>
            </w:r>
          </w:p>
        </w:tc>
        <w:tc>
          <w:tcPr>
            <w:tcW w:w="2835" w:type="dxa"/>
            <w:shd w:val="clear" w:color="auto" w:fill="F2F2F2" w:themeFill="background1" w:themeFillShade="F2"/>
          </w:tcPr>
          <w:p w14:paraId="6F88A8EF" w14:textId="77777777" w:rsidR="00355418" w:rsidRPr="007E366D" w:rsidRDefault="00355418" w:rsidP="0001082D">
            <w:pPr>
              <w:pStyle w:val="BodyText"/>
              <w:tabs>
                <w:tab w:val="left" w:pos="467"/>
              </w:tabs>
              <w:spacing w:before="60" w:after="60"/>
              <w:ind w:left="467" w:hanging="467"/>
            </w:pPr>
            <w:r w:rsidRPr="007E366D">
              <w:t>•</w:t>
            </w:r>
            <w:r w:rsidRPr="007E366D">
              <w:tab/>
              <w:t>The number of complaints received.</w:t>
            </w:r>
          </w:p>
          <w:p w14:paraId="19C9678F" w14:textId="68C5C29F" w:rsidR="00285C04" w:rsidRPr="007E366D" w:rsidRDefault="00355418" w:rsidP="0001082D">
            <w:pPr>
              <w:pStyle w:val="BodyText"/>
              <w:tabs>
                <w:tab w:val="left" w:pos="467"/>
              </w:tabs>
              <w:spacing w:before="60" w:after="60"/>
              <w:ind w:left="467" w:hanging="467"/>
            </w:pPr>
            <w:r w:rsidRPr="007E366D">
              <w:t>•</w:t>
            </w:r>
            <w:r w:rsidRPr="007E366D">
              <w:tab/>
              <w:t>A summary of the nature of each complaint or a copy of each complaint.</w:t>
            </w:r>
          </w:p>
        </w:tc>
      </w:tr>
      <w:tr w:rsidR="00285C04" w:rsidRPr="007E366D" w14:paraId="3357E1A6" w14:textId="77777777" w:rsidTr="0001082D">
        <w:tc>
          <w:tcPr>
            <w:tcW w:w="2693" w:type="dxa"/>
            <w:shd w:val="clear" w:color="auto" w:fill="F2F2F2" w:themeFill="background1" w:themeFillShade="F2"/>
          </w:tcPr>
          <w:p w14:paraId="505AE7EF" w14:textId="6B13A9C0" w:rsidR="00285C04" w:rsidRPr="007E366D" w:rsidRDefault="00355418" w:rsidP="00355418">
            <w:pPr>
              <w:pStyle w:val="BodyText"/>
              <w:spacing w:before="60" w:after="60"/>
            </w:pPr>
            <w:r w:rsidRPr="007E366D">
              <w:lastRenderedPageBreak/>
              <w:t xml:space="preserve">A significant dealing of the </w:t>
            </w:r>
            <w:r w:rsidR="00484E91" w:rsidRPr="00484E91">
              <w:rPr>
                <w:szCs w:val="21"/>
              </w:rPr>
              <w:t xml:space="preserve">New </w:t>
            </w:r>
            <w:r w:rsidR="00DB0ECD" w:rsidRPr="007E366D">
              <w:t>Option</w:t>
            </w:r>
            <w:r w:rsidRPr="007E366D">
              <w:t>s that is not consistent with this TMD</w:t>
            </w:r>
          </w:p>
        </w:tc>
        <w:tc>
          <w:tcPr>
            <w:tcW w:w="2835" w:type="dxa"/>
            <w:shd w:val="clear" w:color="auto" w:fill="F2F2F2" w:themeFill="background1" w:themeFillShade="F2"/>
          </w:tcPr>
          <w:p w14:paraId="4A809417" w14:textId="6E157097" w:rsidR="00285C04" w:rsidRPr="007E366D" w:rsidRDefault="00355418" w:rsidP="00355418">
            <w:pPr>
              <w:pStyle w:val="BodyText"/>
              <w:spacing w:before="60" w:after="60"/>
            </w:pPr>
            <w:r w:rsidRPr="007E366D">
              <w:t>As soon as reasonably practicable after the significant dealing occurs, but in any event no later than 10 business days after the significant dealing occurs.</w:t>
            </w:r>
          </w:p>
        </w:tc>
        <w:tc>
          <w:tcPr>
            <w:tcW w:w="2835" w:type="dxa"/>
            <w:shd w:val="clear" w:color="auto" w:fill="F2F2F2" w:themeFill="background1" w:themeFillShade="F2"/>
          </w:tcPr>
          <w:p w14:paraId="6AFFC23B" w14:textId="77777777" w:rsidR="00285C04" w:rsidRPr="007E366D" w:rsidRDefault="00355418" w:rsidP="0001082D">
            <w:pPr>
              <w:pStyle w:val="BodyText"/>
              <w:tabs>
                <w:tab w:val="left" w:pos="467"/>
              </w:tabs>
              <w:spacing w:before="60" w:after="60"/>
              <w:ind w:left="467" w:hanging="467"/>
            </w:pPr>
            <w:r w:rsidRPr="007E366D">
              <w:t>•</w:t>
            </w:r>
            <w:r w:rsidRPr="007E366D">
              <w:tab/>
              <w:t>Details of the significant dealing.</w:t>
            </w:r>
          </w:p>
          <w:p w14:paraId="41BE0F25" w14:textId="18C965FC" w:rsidR="00355418" w:rsidRPr="007E366D" w:rsidRDefault="00355418" w:rsidP="0001082D">
            <w:pPr>
              <w:pStyle w:val="BodyText"/>
              <w:tabs>
                <w:tab w:val="left" w:pos="467"/>
              </w:tabs>
              <w:spacing w:before="60" w:after="60"/>
              <w:ind w:left="467" w:hanging="467"/>
            </w:pPr>
            <w:r w:rsidRPr="007E366D">
              <w:t>•</w:t>
            </w:r>
            <w:r w:rsidRPr="007E366D">
              <w:tab/>
              <w:t>Reasons why the distributor considers that the significant dealing is not consistent with this TMD.</w:t>
            </w:r>
          </w:p>
        </w:tc>
      </w:tr>
      <w:tr w:rsidR="00285C04" w:rsidRPr="007E366D" w14:paraId="0C9A029B" w14:textId="77777777" w:rsidTr="0001082D">
        <w:tc>
          <w:tcPr>
            <w:tcW w:w="2693" w:type="dxa"/>
            <w:shd w:val="clear" w:color="auto" w:fill="F2F2F2" w:themeFill="background1" w:themeFillShade="F2"/>
          </w:tcPr>
          <w:p w14:paraId="4D7863A9" w14:textId="41C19980" w:rsidR="00285C04" w:rsidRPr="007E366D" w:rsidRDefault="00355418" w:rsidP="00355418">
            <w:pPr>
              <w:pStyle w:val="BodyText"/>
              <w:spacing w:before="60" w:after="60"/>
            </w:pPr>
            <w:r w:rsidRPr="007E366D">
              <w:t>A summary of the steps taken by the distributor to ensure that its conduct was consistent with this TMD.</w:t>
            </w:r>
          </w:p>
        </w:tc>
        <w:tc>
          <w:tcPr>
            <w:tcW w:w="2835" w:type="dxa"/>
            <w:shd w:val="clear" w:color="auto" w:fill="F2F2F2" w:themeFill="background1" w:themeFillShade="F2"/>
          </w:tcPr>
          <w:p w14:paraId="1E9439BE" w14:textId="6C642A33" w:rsidR="00285C04" w:rsidRPr="007E366D" w:rsidRDefault="00355418" w:rsidP="00355418">
            <w:pPr>
              <w:pStyle w:val="BodyText"/>
              <w:spacing w:before="60" w:after="60"/>
            </w:pPr>
            <w:r w:rsidRPr="007E366D">
              <w:t xml:space="preserve">Within 10 business days after the end of the close of the offer of </w:t>
            </w:r>
            <w:r w:rsidR="00484E91" w:rsidRPr="00484E91">
              <w:rPr>
                <w:szCs w:val="21"/>
              </w:rPr>
              <w:t xml:space="preserve">New </w:t>
            </w:r>
            <w:r w:rsidR="006206F1" w:rsidRPr="007E366D">
              <w:t>Options</w:t>
            </w:r>
            <w:r w:rsidRPr="007E366D">
              <w:t xml:space="preserve"> in accordance with the Prospectus.</w:t>
            </w:r>
          </w:p>
        </w:tc>
        <w:tc>
          <w:tcPr>
            <w:tcW w:w="2835" w:type="dxa"/>
            <w:shd w:val="clear" w:color="auto" w:fill="F2F2F2" w:themeFill="background1" w:themeFillShade="F2"/>
          </w:tcPr>
          <w:p w14:paraId="3777DE5A" w14:textId="31C7AF34" w:rsidR="00285C04" w:rsidRPr="007E366D" w:rsidRDefault="00355418" w:rsidP="00355418">
            <w:pPr>
              <w:pStyle w:val="BodyText"/>
              <w:spacing w:before="60" w:after="60"/>
            </w:pPr>
            <w:r w:rsidRPr="007E366D">
              <w:t>A summary of the steps taken by the distributor to ensure that its conduct was consistent with this TMD.</w:t>
            </w:r>
          </w:p>
        </w:tc>
      </w:tr>
    </w:tbl>
    <w:p w14:paraId="1BA79DAA" w14:textId="6FB81631" w:rsidR="00FF2736" w:rsidRPr="007E366D" w:rsidRDefault="00301C89" w:rsidP="0001082D">
      <w:pPr>
        <w:pStyle w:val="Heading1"/>
        <w:spacing w:before="240"/>
      </w:pPr>
      <w:bookmarkStart w:id="9" w:name="_Toc83885363"/>
      <w:bookmarkStart w:id="10" w:name="_Toc83886629"/>
      <w:r w:rsidRPr="007E366D">
        <w:t>Contact</w:t>
      </w:r>
      <w:r w:rsidRPr="0072634D">
        <w:t xml:space="preserve"> </w:t>
      </w:r>
      <w:r w:rsidRPr="007E366D">
        <w:t>details</w:t>
      </w:r>
      <w:bookmarkEnd w:id="9"/>
      <w:bookmarkEnd w:id="10"/>
    </w:p>
    <w:p w14:paraId="0858479F" w14:textId="77777777" w:rsidR="00FF2736" w:rsidRPr="007E366D" w:rsidRDefault="00301C89" w:rsidP="0001082D">
      <w:pPr>
        <w:pStyle w:val="BodyText2"/>
        <w:keepNext/>
      </w:pPr>
      <w:r w:rsidRPr="007E366D">
        <w:t>Contact</w:t>
      </w:r>
      <w:r w:rsidRPr="0072634D">
        <w:t xml:space="preserve"> </w:t>
      </w:r>
      <w:r w:rsidRPr="007E366D">
        <w:t>details</w:t>
      </w:r>
      <w:r w:rsidRPr="0072634D">
        <w:t xml:space="preserve"> </w:t>
      </w:r>
      <w:r w:rsidRPr="007E366D">
        <w:t>in</w:t>
      </w:r>
      <w:r w:rsidRPr="0072634D">
        <w:t xml:space="preserve"> </w:t>
      </w:r>
      <w:r w:rsidRPr="007E366D">
        <w:t>respect</w:t>
      </w:r>
      <w:r w:rsidRPr="0072634D">
        <w:t xml:space="preserve"> </w:t>
      </w:r>
      <w:r w:rsidRPr="007E366D">
        <w:t>of this</w:t>
      </w:r>
      <w:r w:rsidRPr="0072634D">
        <w:t xml:space="preserve"> </w:t>
      </w:r>
      <w:r w:rsidRPr="007E366D">
        <w:t>TMD</w:t>
      </w:r>
      <w:r w:rsidRPr="0072634D">
        <w:t xml:space="preserve"> </w:t>
      </w:r>
      <w:r w:rsidRPr="007E366D">
        <w:t>for</w:t>
      </w:r>
      <w:r w:rsidRPr="0072634D">
        <w:t xml:space="preserve"> </w:t>
      </w:r>
      <w:r w:rsidRPr="007E366D">
        <w:t>the</w:t>
      </w:r>
      <w:r w:rsidRPr="0072634D">
        <w:t xml:space="preserve"> </w:t>
      </w:r>
      <w:r w:rsidRPr="007E366D">
        <w:t>Company</w:t>
      </w:r>
      <w:r w:rsidRPr="0072634D">
        <w:t xml:space="preserve"> </w:t>
      </w:r>
      <w:r w:rsidRPr="007E366D">
        <w:t>are:</w:t>
      </w:r>
    </w:p>
    <w:p w14:paraId="707C62FD" w14:textId="37BA4104" w:rsidR="00C21856" w:rsidRPr="00484E91" w:rsidRDefault="00D406CF" w:rsidP="00C21856">
      <w:pPr>
        <w:pStyle w:val="BodyText2"/>
        <w:spacing w:after="0"/>
        <w:jc w:val="left"/>
      </w:pPr>
      <w:bookmarkStart w:id="11" w:name="_Hlk151718870"/>
      <w:r w:rsidRPr="00484E91">
        <w:rPr>
          <w:szCs w:val="21"/>
        </w:rPr>
        <w:t>Andrew Metcalfe</w:t>
      </w:r>
      <w:bookmarkEnd w:id="11"/>
      <w:r w:rsidR="00DB0ECD" w:rsidRPr="00484E91">
        <w:rPr>
          <w:bCs/>
        </w:rPr>
        <w:br/>
      </w:r>
      <w:r w:rsidR="00484E91" w:rsidRPr="00484E91">
        <w:t>Company Secretary</w:t>
      </w:r>
      <w:r w:rsidR="00355418" w:rsidRPr="00484E91">
        <w:rPr>
          <w:bCs/>
        </w:rPr>
        <w:br/>
      </w:r>
      <w:r w:rsidR="00C21856" w:rsidRPr="00484E91">
        <w:t>Mobile</w:t>
      </w:r>
      <w:r w:rsidR="0001082D" w:rsidRPr="00484E91">
        <w:t>:</w:t>
      </w:r>
      <w:r w:rsidR="00301C89" w:rsidRPr="00484E91">
        <w:t xml:space="preserve"> </w:t>
      </w:r>
      <w:r w:rsidR="0001082D" w:rsidRPr="00484E91">
        <w:tab/>
      </w:r>
      <w:r w:rsidR="00C21856" w:rsidRPr="00484E91">
        <w:t>+61 2 8415 7300</w:t>
      </w:r>
      <w:r w:rsidR="00301C89" w:rsidRPr="00484E91">
        <w:t xml:space="preserve"> </w:t>
      </w:r>
      <w:r w:rsidR="0001082D" w:rsidRPr="00484E91">
        <w:tab/>
      </w:r>
    </w:p>
    <w:p w14:paraId="307E17E3" w14:textId="40116EFE" w:rsidR="00FF2736" w:rsidRDefault="00301C89" w:rsidP="00C21856">
      <w:pPr>
        <w:pStyle w:val="BodyText2"/>
        <w:spacing w:after="0"/>
        <w:jc w:val="left"/>
        <w:rPr>
          <w:szCs w:val="21"/>
        </w:rPr>
      </w:pPr>
      <w:r w:rsidRPr="00484E91">
        <w:t>E</w:t>
      </w:r>
      <w:r w:rsidR="0001082D" w:rsidRPr="00484E91">
        <w:t>mail:</w:t>
      </w:r>
      <w:r w:rsidR="00C21856" w:rsidRPr="00484E91">
        <w:t xml:space="preserve"> </w:t>
      </w:r>
      <w:hyperlink r:id="rId9" w:history="1">
        <w:r w:rsidR="0001569A" w:rsidRPr="00DE4356">
          <w:rPr>
            <w:rStyle w:val="Hyperlink"/>
            <w:szCs w:val="21"/>
          </w:rPr>
          <w:t>info@memphasys.com</w:t>
        </w:r>
      </w:hyperlink>
    </w:p>
    <w:p w14:paraId="4B3A61A0" w14:textId="77777777" w:rsidR="0001569A" w:rsidRPr="00484E91" w:rsidRDefault="0001569A" w:rsidP="00C21856">
      <w:pPr>
        <w:pStyle w:val="BodyText2"/>
        <w:spacing w:after="0"/>
        <w:jc w:val="left"/>
      </w:pPr>
    </w:p>
    <w:p w14:paraId="713EF578" w14:textId="77777777" w:rsidR="00484E91" w:rsidRPr="00C21856" w:rsidRDefault="00484E91" w:rsidP="00C21856">
      <w:pPr>
        <w:pStyle w:val="BodyText2"/>
        <w:spacing w:after="0"/>
        <w:jc w:val="left"/>
        <w:rPr>
          <w:highlight w:val="yellow"/>
        </w:rPr>
      </w:pPr>
    </w:p>
    <w:sectPr w:rsidR="00484E91" w:rsidRPr="00C21856" w:rsidSect="006A21B1">
      <w:headerReference w:type="even" r:id="rId10"/>
      <w:headerReference w:type="default" r:id="rId11"/>
      <w:footerReference w:type="even" r:id="rId12"/>
      <w:footerReference w:type="default" r:id="rId13"/>
      <w:headerReference w:type="first" r:id="rId14"/>
      <w:footerReference w:type="first" r:id="rId15"/>
      <w:pgSz w:w="11910" w:h="16840"/>
      <w:pgMar w:top="1134" w:right="1418" w:bottom="851" w:left="1418" w:header="720" w:footer="306"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9F18" w14:textId="77777777" w:rsidR="003C2EC8" w:rsidRDefault="003C2EC8">
      <w:pPr>
        <w:spacing w:after="0"/>
      </w:pPr>
      <w:r>
        <w:separator/>
      </w:r>
    </w:p>
  </w:endnote>
  <w:endnote w:type="continuationSeparator" w:id="0">
    <w:p w14:paraId="7F45370C" w14:textId="77777777" w:rsidR="003C2EC8" w:rsidRDefault="003C2E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FC16" w14:textId="77777777" w:rsidR="003A3A5A" w:rsidRDefault="003A3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E98D" w14:textId="5CF8F8FF" w:rsidR="00FF2736" w:rsidRPr="00EE5BCD" w:rsidRDefault="00EE5BCD" w:rsidP="00EE5BCD">
    <w:pPr>
      <w:pStyle w:val="Footer"/>
    </w:pPr>
    <w:r>
      <w:tab/>
    </w:r>
    <w:r>
      <w:tab/>
    </w:r>
    <w:r w:rsidRPr="00EE5BCD">
      <w:rPr>
        <w:sz w:val="20"/>
      </w:rPr>
      <w:fldChar w:fldCharType="begin"/>
    </w:r>
    <w:r w:rsidRPr="00EE5BCD">
      <w:rPr>
        <w:sz w:val="20"/>
      </w:rPr>
      <w:instrText xml:space="preserve"> PAGE  \* MERGEFORMAT </w:instrText>
    </w:r>
    <w:r w:rsidRPr="00EE5BCD">
      <w:rPr>
        <w:sz w:val="20"/>
      </w:rPr>
      <w:fldChar w:fldCharType="separate"/>
    </w:r>
    <w:r w:rsidRPr="00EE5BCD">
      <w:rPr>
        <w:noProof/>
        <w:sz w:val="20"/>
      </w:rPr>
      <w:t>1</w:t>
    </w:r>
    <w:r w:rsidRPr="00EE5BC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1B1B" w14:textId="77777777" w:rsidR="003A3A5A" w:rsidRDefault="003A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85E7" w14:textId="77777777" w:rsidR="003C2EC8" w:rsidRDefault="003C2EC8">
      <w:pPr>
        <w:spacing w:after="0"/>
      </w:pPr>
      <w:r>
        <w:separator/>
      </w:r>
    </w:p>
  </w:footnote>
  <w:footnote w:type="continuationSeparator" w:id="0">
    <w:p w14:paraId="5B96C73C" w14:textId="77777777" w:rsidR="003C2EC8" w:rsidRDefault="003C2E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88E4" w14:textId="77777777" w:rsidR="003A3A5A" w:rsidRDefault="003A3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A67F" w14:textId="77777777" w:rsidR="003A3A5A" w:rsidRDefault="003A3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8862" w14:textId="77777777" w:rsidR="003A3A5A" w:rsidRDefault="003A3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25A"/>
    <w:multiLevelType w:val="hybridMultilevel"/>
    <w:tmpl w:val="39A84034"/>
    <w:lvl w:ilvl="0" w:tplc="5A9EEE34">
      <w:numFmt w:val="bullet"/>
      <w:lvlText w:val="•"/>
      <w:lvlJc w:val="left"/>
      <w:pPr>
        <w:ind w:left="571" w:hanging="423"/>
      </w:pPr>
      <w:rPr>
        <w:rFonts w:ascii="Arial" w:eastAsia="Arial" w:hAnsi="Arial" w:cs="Arial" w:hint="default"/>
        <w:b w:val="0"/>
        <w:bCs w:val="0"/>
        <w:i w:val="0"/>
        <w:iCs w:val="0"/>
        <w:w w:val="99"/>
        <w:sz w:val="20"/>
        <w:szCs w:val="20"/>
        <w:lang w:val="en-AU" w:eastAsia="en-US" w:bidi="ar-SA"/>
      </w:rPr>
    </w:lvl>
    <w:lvl w:ilvl="1" w:tplc="FB882112">
      <w:numFmt w:val="bullet"/>
      <w:lvlText w:val="•"/>
      <w:lvlJc w:val="left"/>
      <w:pPr>
        <w:ind w:left="864" w:hanging="423"/>
      </w:pPr>
      <w:rPr>
        <w:rFonts w:hint="default"/>
        <w:lang w:val="en-AU" w:eastAsia="en-US" w:bidi="ar-SA"/>
      </w:rPr>
    </w:lvl>
    <w:lvl w:ilvl="2" w:tplc="F44234B8">
      <w:numFmt w:val="bullet"/>
      <w:lvlText w:val="•"/>
      <w:lvlJc w:val="left"/>
      <w:pPr>
        <w:ind w:left="1148" w:hanging="423"/>
      </w:pPr>
      <w:rPr>
        <w:rFonts w:hint="default"/>
        <w:lang w:val="en-AU" w:eastAsia="en-US" w:bidi="ar-SA"/>
      </w:rPr>
    </w:lvl>
    <w:lvl w:ilvl="3" w:tplc="01D833D4">
      <w:numFmt w:val="bullet"/>
      <w:lvlText w:val="•"/>
      <w:lvlJc w:val="left"/>
      <w:pPr>
        <w:ind w:left="1432" w:hanging="423"/>
      </w:pPr>
      <w:rPr>
        <w:rFonts w:hint="default"/>
        <w:lang w:val="en-AU" w:eastAsia="en-US" w:bidi="ar-SA"/>
      </w:rPr>
    </w:lvl>
    <w:lvl w:ilvl="4" w:tplc="BA361DD6">
      <w:numFmt w:val="bullet"/>
      <w:lvlText w:val="•"/>
      <w:lvlJc w:val="left"/>
      <w:pPr>
        <w:ind w:left="1716" w:hanging="423"/>
      </w:pPr>
      <w:rPr>
        <w:rFonts w:hint="default"/>
        <w:lang w:val="en-AU" w:eastAsia="en-US" w:bidi="ar-SA"/>
      </w:rPr>
    </w:lvl>
    <w:lvl w:ilvl="5" w:tplc="ECC4B3C0">
      <w:numFmt w:val="bullet"/>
      <w:lvlText w:val="•"/>
      <w:lvlJc w:val="left"/>
      <w:pPr>
        <w:ind w:left="2001" w:hanging="423"/>
      </w:pPr>
      <w:rPr>
        <w:rFonts w:hint="default"/>
        <w:lang w:val="en-AU" w:eastAsia="en-US" w:bidi="ar-SA"/>
      </w:rPr>
    </w:lvl>
    <w:lvl w:ilvl="6" w:tplc="417243A8">
      <w:numFmt w:val="bullet"/>
      <w:lvlText w:val="•"/>
      <w:lvlJc w:val="left"/>
      <w:pPr>
        <w:ind w:left="2285" w:hanging="423"/>
      </w:pPr>
      <w:rPr>
        <w:rFonts w:hint="default"/>
        <w:lang w:val="en-AU" w:eastAsia="en-US" w:bidi="ar-SA"/>
      </w:rPr>
    </w:lvl>
    <w:lvl w:ilvl="7" w:tplc="EB1401B8">
      <w:numFmt w:val="bullet"/>
      <w:lvlText w:val="•"/>
      <w:lvlJc w:val="left"/>
      <w:pPr>
        <w:ind w:left="2569" w:hanging="423"/>
      </w:pPr>
      <w:rPr>
        <w:rFonts w:hint="default"/>
        <w:lang w:val="en-AU" w:eastAsia="en-US" w:bidi="ar-SA"/>
      </w:rPr>
    </w:lvl>
    <w:lvl w:ilvl="8" w:tplc="3C5E3CE2">
      <w:numFmt w:val="bullet"/>
      <w:lvlText w:val="•"/>
      <w:lvlJc w:val="left"/>
      <w:pPr>
        <w:ind w:left="2853" w:hanging="423"/>
      </w:pPr>
      <w:rPr>
        <w:rFonts w:hint="default"/>
        <w:lang w:val="en-AU" w:eastAsia="en-US" w:bidi="ar-SA"/>
      </w:rPr>
    </w:lvl>
  </w:abstractNum>
  <w:abstractNum w:abstractNumId="1" w15:restartNumberingAfterBreak="0">
    <w:nsid w:val="1BFA7A58"/>
    <w:multiLevelType w:val="hybridMultilevel"/>
    <w:tmpl w:val="972E3358"/>
    <w:lvl w:ilvl="0" w:tplc="3CB43F2E">
      <w:numFmt w:val="bullet"/>
      <w:lvlText w:val="•"/>
      <w:lvlJc w:val="left"/>
      <w:pPr>
        <w:ind w:left="571" w:hanging="423"/>
      </w:pPr>
      <w:rPr>
        <w:rFonts w:ascii="Arial" w:eastAsia="Arial" w:hAnsi="Arial" w:cs="Arial" w:hint="default"/>
        <w:b w:val="0"/>
        <w:bCs w:val="0"/>
        <w:i w:val="0"/>
        <w:iCs w:val="0"/>
        <w:w w:val="99"/>
        <w:sz w:val="20"/>
        <w:szCs w:val="20"/>
        <w:lang w:val="en-AU" w:eastAsia="en-US" w:bidi="ar-SA"/>
      </w:rPr>
    </w:lvl>
    <w:lvl w:ilvl="1" w:tplc="2F4A715A">
      <w:numFmt w:val="bullet"/>
      <w:lvlText w:val="•"/>
      <w:lvlJc w:val="left"/>
      <w:pPr>
        <w:ind w:left="864" w:hanging="423"/>
      </w:pPr>
      <w:rPr>
        <w:rFonts w:hint="default"/>
        <w:lang w:val="en-AU" w:eastAsia="en-US" w:bidi="ar-SA"/>
      </w:rPr>
    </w:lvl>
    <w:lvl w:ilvl="2" w:tplc="02723D34">
      <w:numFmt w:val="bullet"/>
      <w:lvlText w:val="•"/>
      <w:lvlJc w:val="left"/>
      <w:pPr>
        <w:ind w:left="1148" w:hanging="423"/>
      </w:pPr>
      <w:rPr>
        <w:rFonts w:hint="default"/>
        <w:lang w:val="en-AU" w:eastAsia="en-US" w:bidi="ar-SA"/>
      </w:rPr>
    </w:lvl>
    <w:lvl w:ilvl="3" w:tplc="782A7628">
      <w:numFmt w:val="bullet"/>
      <w:lvlText w:val="•"/>
      <w:lvlJc w:val="left"/>
      <w:pPr>
        <w:ind w:left="1432" w:hanging="423"/>
      </w:pPr>
      <w:rPr>
        <w:rFonts w:hint="default"/>
        <w:lang w:val="en-AU" w:eastAsia="en-US" w:bidi="ar-SA"/>
      </w:rPr>
    </w:lvl>
    <w:lvl w:ilvl="4" w:tplc="69CACDEE">
      <w:numFmt w:val="bullet"/>
      <w:lvlText w:val="•"/>
      <w:lvlJc w:val="left"/>
      <w:pPr>
        <w:ind w:left="1716" w:hanging="423"/>
      </w:pPr>
      <w:rPr>
        <w:rFonts w:hint="default"/>
        <w:lang w:val="en-AU" w:eastAsia="en-US" w:bidi="ar-SA"/>
      </w:rPr>
    </w:lvl>
    <w:lvl w:ilvl="5" w:tplc="CD8867E8">
      <w:numFmt w:val="bullet"/>
      <w:lvlText w:val="•"/>
      <w:lvlJc w:val="left"/>
      <w:pPr>
        <w:ind w:left="2001" w:hanging="423"/>
      </w:pPr>
      <w:rPr>
        <w:rFonts w:hint="default"/>
        <w:lang w:val="en-AU" w:eastAsia="en-US" w:bidi="ar-SA"/>
      </w:rPr>
    </w:lvl>
    <w:lvl w:ilvl="6" w:tplc="A6605588">
      <w:numFmt w:val="bullet"/>
      <w:lvlText w:val="•"/>
      <w:lvlJc w:val="left"/>
      <w:pPr>
        <w:ind w:left="2285" w:hanging="423"/>
      </w:pPr>
      <w:rPr>
        <w:rFonts w:hint="default"/>
        <w:lang w:val="en-AU" w:eastAsia="en-US" w:bidi="ar-SA"/>
      </w:rPr>
    </w:lvl>
    <w:lvl w:ilvl="7" w:tplc="D43CBD5A">
      <w:numFmt w:val="bullet"/>
      <w:lvlText w:val="•"/>
      <w:lvlJc w:val="left"/>
      <w:pPr>
        <w:ind w:left="2569" w:hanging="423"/>
      </w:pPr>
      <w:rPr>
        <w:rFonts w:hint="default"/>
        <w:lang w:val="en-AU" w:eastAsia="en-US" w:bidi="ar-SA"/>
      </w:rPr>
    </w:lvl>
    <w:lvl w:ilvl="8" w:tplc="AE3EF476">
      <w:numFmt w:val="bullet"/>
      <w:lvlText w:val="•"/>
      <w:lvlJc w:val="left"/>
      <w:pPr>
        <w:ind w:left="2853" w:hanging="423"/>
      </w:pPr>
      <w:rPr>
        <w:rFonts w:hint="default"/>
        <w:lang w:val="en-AU" w:eastAsia="en-US" w:bidi="ar-SA"/>
      </w:rPr>
    </w:lvl>
  </w:abstractNum>
  <w:abstractNum w:abstractNumId="2" w15:restartNumberingAfterBreak="0">
    <w:nsid w:val="1C080EDD"/>
    <w:multiLevelType w:val="hybridMultilevel"/>
    <w:tmpl w:val="8F52C056"/>
    <w:lvl w:ilvl="0" w:tplc="DBCE2534">
      <w:numFmt w:val="bullet"/>
      <w:lvlText w:val="-"/>
      <w:lvlJc w:val="left"/>
      <w:pPr>
        <w:ind w:left="468" w:hanging="360"/>
      </w:pPr>
      <w:rPr>
        <w:rFonts w:ascii="Century Gothic" w:eastAsia="Arial" w:hAnsi="Century Gothic" w:cs="Aria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3" w15:restartNumberingAfterBreak="0">
    <w:nsid w:val="1D7261C3"/>
    <w:multiLevelType w:val="hybridMultilevel"/>
    <w:tmpl w:val="958471D6"/>
    <w:lvl w:ilvl="0" w:tplc="AE7EA052">
      <w:numFmt w:val="bullet"/>
      <w:lvlText w:val="•"/>
      <w:lvlJc w:val="left"/>
      <w:pPr>
        <w:ind w:left="571" w:hanging="423"/>
      </w:pPr>
      <w:rPr>
        <w:rFonts w:ascii="Arial" w:eastAsia="Arial" w:hAnsi="Arial" w:cs="Arial" w:hint="default"/>
        <w:b w:val="0"/>
        <w:bCs w:val="0"/>
        <w:i w:val="0"/>
        <w:iCs w:val="0"/>
        <w:w w:val="99"/>
        <w:sz w:val="20"/>
        <w:szCs w:val="20"/>
        <w:lang w:val="en-AU" w:eastAsia="en-US" w:bidi="ar-SA"/>
      </w:rPr>
    </w:lvl>
    <w:lvl w:ilvl="1" w:tplc="FCDA0446">
      <w:numFmt w:val="bullet"/>
      <w:lvlText w:val="•"/>
      <w:lvlJc w:val="left"/>
      <w:pPr>
        <w:ind w:left="864" w:hanging="423"/>
      </w:pPr>
      <w:rPr>
        <w:rFonts w:hint="default"/>
        <w:lang w:val="en-AU" w:eastAsia="en-US" w:bidi="ar-SA"/>
      </w:rPr>
    </w:lvl>
    <w:lvl w:ilvl="2" w:tplc="556EADA2">
      <w:numFmt w:val="bullet"/>
      <w:lvlText w:val="•"/>
      <w:lvlJc w:val="left"/>
      <w:pPr>
        <w:ind w:left="1148" w:hanging="423"/>
      </w:pPr>
      <w:rPr>
        <w:rFonts w:hint="default"/>
        <w:lang w:val="en-AU" w:eastAsia="en-US" w:bidi="ar-SA"/>
      </w:rPr>
    </w:lvl>
    <w:lvl w:ilvl="3" w:tplc="B91C0F5A">
      <w:numFmt w:val="bullet"/>
      <w:lvlText w:val="•"/>
      <w:lvlJc w:val="left"/>
      <w:pPr>
        <w:ind w:left="1432" w:hanging="423"/>
      </w:pPr>
      <w:rPr>
        <w:rFonts w:hint="default"/>
        <w:lang w:val="en-AU" w:eastAsia="en-US" w:bidi="ar-SA"/>
      </w:rPr>
    </w:lvl>
    <w:lvl w:ilvl="4" w:tplc="52FCF2A6">
      <w:numFmt w:val="bullet"/>
      <w:lvlText w:val="•"/>
      <w:lvlJc w:val="left"/>
      <w:pPr>
        <w:ind w:left="1716" w:hanging="423"/>
      </w:pPr>
      <w:rPr>
        <w:rFonts w:hint="default"/>
        <w:lang w:val="en-AU" w:eastAsia="en-US" w:bidi="ar-SA"/>
      </w:rPr>
    </w:lvl>
    <w:lvl w:ilvl="5" w:tplc="4EEE83EE">
      <w:numFmt w:val="bullet"/>
      <w:lvlText w:val="•"/>
      <w:lvlJc w:val="left"/>
      <w:pPr>
        <w:ind w:left="2001" w:hanging="423"/>
      </w:pPr>
      <w:rPr>
        <w:rFonts w:hint="default"/>
        <w:lang w:val="en-AU" w:eastAsia="en-US" w:bidi="ar-SA"/>
      </w:rPr>
    </w:lvl>
    <w:lvl w:ilvl="6" w:tplc="D8DE5D8E">
      <w:numFmt w:val="bullet"/>
      <w:lvlText w:val="•"/>
      <w:lvlJc w:val="left"/>
      <w:pPr>
        <w:ind w:left="2285" w:hanging="423"/>
      </w:pPr>
      <w:rPr>
        <w:rFonts w:hint="default"/>
        <w:lang w:val="en-AU" w:eastAsia="en-US" w:bidi="ar-SA"/>
      </w:rPr>
    </w:lvl>
    <w:lvl w:ilvl="7" w:tplc="98463416">
      <w:numFmt w:val="bullet"/>
      <w:lvlText w:val="•"/>
      <w:lvlJc w:val="left"/>
      <w:pPr>
        <w:ind w:left="2569" w:hanging="423"/>
      </w:pPr>
      <w:rPr>
        <w:rFonts w:hint="default"/>
        <w:lang w:val="en-AU" w:eastAsia="en-US" w:bidi="ar-SA"/>
      </w:rPr>
    </w:lvl>
    <w:lvl w:ilvl="8" w:tplc="BF3296FC">
      <w:numFmt w:val="bullet"/>
      <w:lvlText w:val="•"/>
      <w:lvlJc w:val="left"/>
      <w:pPr>
        <w:ind w:left="2853" w:hanging="423"/>
      </w:pPr>
      <w:rPr>
        <w:rFonts w:hint="default"/>
        <w:lang w:val="en-AU" w:eastAsia="en-US" w:bidi="ar-SA"/>
      </w:rPr>
    </w:lvl>
  </w:abstractNum>
  <w:abstractNum w:abstractNumId="4" w15:restartNumberingAfterBreak="0">
    <w:nsid w:val="413E2534"/>
    <w:multiLevelType w:val="hybridMultilevel"/>
    <w:tmpl w:val="FF8AED10"/>
    <w:lvl w:ilvl="0" w:tplc="8E12F11C">
      <w:start w:val="1"/>
      <w:numFmt w:val="upperLetter"/>
      <w:lvlText w:val="%1."/>
      <w:lvlJc w:val="left"/>
      <w:pPr>
        <w:ind w:left="850" w:hanging="85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746EE7"/>
    <w:multiLevelType w:val="multilevel"/>
    <w:tmpl w:val="3C9216F4"/>
    <w:lvl w:ilvl="0">
      <w:start w:val="6"/>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lowerLetter"/>
      <w:lvlText w:val="(%3)"/>
      <w:lvlJc w:val="left"/>
      <w:pPr>
        <w:ind w:left="1701" w:hanging="851"/>
      </w:pPr>
      <w:rPr>
        <w:rFonts w:hint="default"/>
      </w:rPr>
    </w:lvl>
    <w:lvl w:ilvl="3">
      <w:start w:val="1"/>
      <w:numFmt w:val="lowerRoman"/>
      <w:lvlText w:val="(%4)"/>
      <w:lvlJc w:val="left"/>
      <w:pPr>
        <w:ind w:left="2551" w:hanging="850"/>
      </w:pPr>
      <w:rPr>
        <w:rFonts w:hint="default"/>
      </w:rPr>
    </w:lvl>
    <w:lvl w:ilvl="4">
      <w:start w:val="1"/>
      <w:numFmt w:val="upperLetter"/>
      <w:lvlText w:val="(%5)"/>
      <w:lvlJc w:val="left"/>
      <w:pPr>
        <w:ind w:left="340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212784"/>
    <w:multiLevelType w:val="multilevel"/>
    <w:tmpl w:val="44AC03EC"/>
    <w:lvl w:ilvl="0">
      <w:start w:val="1"/>
      <w:numFmt w:val="decimal"/>
      <w:pStyle w:val="Item"/>
      <w:lvlText w:val="Item %1"/>
      <w:lvlJc w:val="left"/>
      <w:pPr>
        <w:ind w:left="1134" w:hanging="1134"/>
      </w:pPr>
      <w:rPr>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786220"/>
    <w:multiLevelType w:val="multilevel"/>
    <w:tmpl w:val="5BD2F0AC"/>
    <w:lvl w:ilvl="0">
      <w:start w:val="1"/>
      <w:numFmt w:val="none"/>
      <w:pStyle w:val="Schedule"/>
      <w:suff w:val="nothing"/>
      <w:lvlText w:val=""/>
      <w:lvlJc w:val="left"/>
      <w:pPr>
        <w:ind w:left="0" w:firstLine="0"/>
      </w:pPr>
    </w:lvl>
    <w:lvl w:ilvl="1">
      <w:start w:val="1"/>
      <w:numFmt w:val="decimal"/>
      <w:pStyle w:val="Schedule1"/>
      <w:lvlText w:val="%2."/>
      <w:lvlJc w:val="left"/>
      <w:pPr>
        <w:ind w:left="850" w:hanging="850"/>
      </w:pPr>
    </w:lvl>
    <w:lvl w:ilvl="2">
      <w:start w:val="1"/>
      <w:numFmt w:val="decimal"/>
      <w:pStyle w:val="Schedule2"/>
      <w:lvlText w:val="%2.%3"/>
      <w:lvlJc w:val="left"/>
      <w:pPr>
        <w:ind w:left="850" w:hanging="850"/>
      </w:pPr>
    </w:lvl>
    <w:lvl w:ilvl="3">
      <w:start w:val="1"/>
      <w:numFmt w:val="lowerLetter"/>
      <w:pStyle w:val="Schedule3"/>
      <w:lvlText w:val="(%4)"/>
      <w:lvlJc w:val="left"/>
      <w:pPr>
        <w:ind w:left="1701" w:hanging="851"/>
      </w:pPr>
    </w:lvl>
    <w:lvl w:ilvl="4">
      <w:start w:val="1"/>
      <w:numFmt w:val="lowerRoman"/>
      <w:pStyle w:val="Schedule4"/>
      <w:lvlText w:val="(%5)"/>
      <w:lvlJc w:val="left"/>
      <w:pPr>
        <w:ind w:left="2551" w:hanging="850"/>
      </w:pPr>
    </w:lvl>
    <w:lvl w:ilvl="5">
      <w:start w:val="1"/>
      <w:numFmt w:val="upperLetter"/>
      <w:pStyle w:val="Schedule5"/>
      <w:lvlText w:val="(%6)"/>
      <w:lvlJc w:val="left"/>
      <w:pPr>
        <w:ind w:left="3402" w:hanging="851"/>
      </w:pPr>
    </w:lvl>
    <w:lvl w:ilvl="6">
      <w:start w:val="1"/>
      <w:numFmt w:val="upperRoman"/>
      <w:pStyle w:val="Schedule6"/>
      <w:lvlText w:val="(%7)"/>
      <w:lvlJc w:val="left"/>
      <w:pPr>
        <w:ind w:left="4252"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ED7B9C"/>
    <w:multiLevelType w:val="hybridMultilevel"/>
    <w:tmpl w:val="44084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FA6FB1"/>
    <w:multiLevelType w:val="multilevel"/>
    <w:tmpl w:val="53E4A248"/>
    <w:lvl w:ilvl="0">
      <w:start w:val="1"/>
      <w:numFmt w:val="decimal"/>
      <w:pStyle w:val="TableText1"/>
      <w:lvlText w:val="%1."/>
      <w:lvlJc w:val="left"/>
      <w:pPr>
        <w:ind w:left="850" w:hanging="850"/>
      </w:pPr>
    </w:lvl>
    <w:lvl w:ilvl="1">
      <w:start w:val="1"/>
      <w:numFmt w:val="decimal"/>
      <w:pStyle w:val="TableText2"/>
      <w:lvlText w:val="%1.%2"/>
      <w:lvlJc w:val="left"/>
      <w:pPr>
        <w:ind w:left="850" w:hanging="850"/>
      </w:pPr>
    </w:lvl>
    <w:lvl w:ilvl="2">
      <w:start w:val="1"/>
      <w:numFmt w:val="lowerLetter"/>
      <w:pStyle w:val="TableText3"/>
      <w:lvlText w:val="(%3)"/>
      <w:lvlJc w:val="left"/>
      <w:pPr>
        <w:ind w:left="1701" w:hanging="851"/>
      </w:pPr>
    </w:lvl>
    <w:lvl w:ilvl="3">
      <w:start w:val="1"/>
      <w:numFmt w:val="lowerRoman"/>
      <w:pStyle w:val="TableText4"/>
      <w:lvlText w:val="(%4)"/>
      <w:lvlJc w:val="left"/>
      <w:pPr>
        <w:ind w:left="2551" w:hanging="850"/>
      </w:pPr>
    </w:lvl>
    <w:lvl w:ilvl="4">
      <w:start w:val="1"/>
      <w:numFmt w:val="upperLetter"/>
      <w:pStyle w:val="TableText5"/>
      <w:lvlText w:val="(%5)"/>
      <w:lvlJc w:val="left"/>
      <w:pPr>
        <w:ind w:left="3402" w:hanging="851"/>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467A52"/>
    <w:multiLevelType w:val="hybridMultilevel"/>
    <w:tmpl w:val="EB86F1E8"/>
    <w:lvl w:ilvl="0" w:tplc="0694D412">
      <w:numFmt w:val="bullet"/>
      <w:lvlText w:val="•"/>
      <w:lvlJc w:val="left"/>
      <w:pPr>
        <w:ind w:left="571" w:hanging="423"/>
      </w:pPr>
      <w:rPr>
        <w:rFonts w:ascii="Arial" w:eastAsia="Arial" w:hAnsi="Arial" w:cs="Arial" w:hint="default"/>
        <w:w w:val="99"/>
        <w:lang w:val="en-AU" w:eastAsia="en-US" w:bidi="ar-SA"/>
      </w:rPr>
    </w:lvl>
    <w:lvl w:ilvl="1" w:tplc="483EF2DE">
      <w:numFmt w:val="bullet"/>
      <w:lvlText w:val="•"/>
      <w:lvlJc w:val="left"/>
      <w:pPr>
        <w:ind w:left="920" w:hanging="423"/>
      </w:pPr>
      <w:rPr>
        <w:rFonts w:hint="default"/>
        <w:lang w:val="en-AU" w:eastAsia="en-US" w:bidi="ar-SA"/>
      </w:rPr>
    </w:lvl>
    <w:lvl w:ilvl="2" w:tplc="F3A0CEB2">
      <w:numFmt w:val="bullet"/>
      <w:lvlText w:val="•"/>
      <w:lvlJc w:val="left"/>
      <w:pPr>
        <w:ind w:left="1260" w:hanging="423"/>
      </w:pPr>
      <w:rPr>
        <w:rFonts w:hint="default"/>
        <w:lang w:val="en-AU" w:eastAsia="en-US" w:bidi="ar-SA"/>
      </w:rPr>
    </w:lvl>
    <w:lvl w:ilvl="3" w:tplc="36D04EFE">
      <w:numFmt w:val="bullet"/>
      <w:lvlText w:val="•"/>
      <w:lvlJc w:val="left"/>
      <w:pPr>
        <w:ind w:left="1601" w:hanging="423"/>
      </w:pPr>
      <w:rPr>
        <w:rFonts w:hint="default"/>
        <w:lang w:val="en-AU" w:eastAsia="en-US" w:bidi="ar-SA"/>
      </w:rPr>
    </w:lvl>
    <w:lvl w:ilvl="4" w:tplc="CBECBF22">
      <w:numFmt w:val="bullet"/>
      <w:lvlText w:val="•"/>
      <w:lvlJc w:val="left"/>
      <w:pPr>
        <w:ind w:left="1941" w:hanging="423"/>
      </w:pPr>
      <w:rPr>
        <w:rFonts w:hint="default"/>
        <w:lang w:val="en-AU" w:eastAsia="en-US" w:bidi="ar-SA"/>
      </w:rPr>
    </w:lvl>
    <w:lvl w:ilvl="5" w:tplc="25FEE6DE">
      <w:numFmt w:val="bullet"/>
      <w:lvlText w:val="•"/>
      <w:lvlJc w:val="left"/>
      <w:pPr>
        <w:ind w:left="2282" w:hanging="423"/>
      </w:pPr>
      <w:rPr>
        <w:rFonts w:hint="default"/>
        <w:lang w:val="en-AU" w:eastAsia="en-US" w:bidi="ar-SA"/>
      </w:rPr>
    </w:lvl>
    <w:lvl w:ilvl="6" w:tplc="7206D660">
      <w:numFmt w:val="bullet"/>
      <w:lvlText w:val="•"/>
      <w:lvlJc w:val="left"/>
      <w:pPr>
        <w:ind w:left="2622" w:hanging="423"/>
      </w:pPr>
      <w:rPr>
        <w:rFonts w:hint="default"/>
        <w:lang w:val="en-AU" w:eastAsia="en-US" w:bidi="ar-SA"/>
      </w:rPr>
    </w:lvl>
    <w:lvl w:ilvl="7" w:tplc="B8BEE7BE">
      <w:numFmt w:val="bullet"/>
      <w:lvlText w:val="•"/>
      <w:lvlJc w:val="left"/>
      <w:pPr>
        <w:ind w:left="2962" w:hanging="423"/>
      </w:pPr>
      <w:rPr>
        <w:rFonts w:hint="default"/>
        <w:lang w:val="en-AU" w:eastAsia="en-US" w:bidi="ar-SA"/>
      </w:rPr>
    </w:lvl>
    <w:lvl w:ilvl="8" w:tplc="1D3AABF8">
      <w:numFmt w:val="bullet"/>
      <w:lvlText w:val="•"/>
      <w:lvlJc w:val="left"/>
      <w:pPr>
        <w:ind w:left="3303" w:hanging="423"/>
      </w:pPr>
      <w:rPr>
        <w:rFonts w:hint="default"/>
        <w:lang w:val="en-AU" w:eastAsia="en-US" w:bidi="ar-SA"/>
      </w:rPr>
    </w:lvl>
  </w:abstractNum>
  <w:abstractNum w:abstractNumId="11" w15:restartNumberingAfterBreak="0">
    <w:nsid w:val="6C555953"/>
    <w:multiLevelType w:val="multilevel"/>
    <w:tmpl w:val="CE562F08"/>
    <w:lvl w:ilvl="0">
      <w:start w:val="1"/>
      <w:numFmt w:val="decimal"/>
      <w:pStyle w:val="Heading1"/>
      <w:lvlText w:val="%1."/>
      <w:lvlJc w:val="left"/>
      <w:pPr>
        <w:ind w:left="850" w:hanging="850"/>
      </w:pPr>
    </w:lvl>
    <w:lvl w:ilvl="1">
      <w:start w:val="1"/>
      <w:numFmt w:val="decimal"/>
      <w:pStyle w:val="Heading2"/>
      <w:lvlText w:val="%1.%2"/>
      <w:lvlJc w:val="left"/>
      <w:pPr>
        <w:ind w:left="850" w:hanging="850"/>
      </w:pPr>
    </w:lvl>
    <w:lvl w:ilvl="2">
      <w:start w:val="1"/>
      <w:numFmt w:val="decimal"/>
      <w:pStyle w:val="Heading7"/>
      <w:lvlText w:val="%1.%2.%3"/>
      <w:lvlJc w:val="left"/>
      <w:pPr>
        <w:ind w:left="850" w:hanging="850"/>
      </w:pPr>
    </w:lvl>
    <w:lvl w:ilvl="3">
      <w:start w:val="1"/>
      <w:numFmt w:val="lowerLetter"/>
      <w:pStyle w:val="Heading3"/>
      <w:lvlText w:val="(%4)"/>
      <w:lvlJc w:val="left"/>
      <w:pPr>
        <w:ind w:left="1701" w:hanging="851"/>
      </w:pPr>
    </w:lvl>
    <w:lvl w:ilvl="4">
      <w:start w:val="1"/>
      <w:numFmt w:val="lowerRoman"/>
      <w:pStyle w:val="Heading4"/>
      <w:lvlText w:val="(%5)"/>
      <w:lvlJc w:val="left"/>
      <w:pPr>
        <w:ind w:left="2551" w:hanging="850"/>
      </w:pPr>
    </w:lvl>
    <w:lvl w:ilvl="5">
      <w:start w:val="1"/>
      <w:numFmt w:val="upperLetter"/>
      <w:pStyle w:val="Heading5"/>
      <w:lvlText w:val="(%6)"/>
      <w:lvlJc w:val="left"/>
      <w:pPr>
        <w:ind w:left="3402" w:hanging="851"/>
      </w:pPr>
    </w:lvl>
    <w:lvl w:ilvl="6">
      <w:start w:val="1"/>
      <w:numFmt w:val="upperRoman"/>
      <w:pStyle w:val="Heading6"/>
      <w:lvlText w:val="(%7)"/>
      <w:lvlJc w:val="left"/>
      <w:pPr>
        <w:ind w:left="4252" w:hanging="85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77D200C9"/>
    <w:multiLevelType w:val="hybridMultilevel"/>
    <w:tmpl w:val="AB3002EA"/>
    <w:lvl w:ilvl="0" w:tplc="36F6D5F6">
      <w:numFmt w:val="bullet"/>
      <w:lvlText w:val=""/>
      <w:lvlJc w:val="left"/>
      <w:pPr>
        <w:ind w:left="826" w:hanging="687"/>
      </w:pPr>
      <w:rPr>
        <w:rFonts w:ascii="Symbol" w:eastAsia="Symbol" w:hAnsi="Symbol" w:cs="Symbol" w:hint="default"/>
        <w:b w:val="0"/>
        <w:bCs w:val="0"/>
        <w:i w:val="0"/>
        <w:iCs w:val="0"/>
        <w:w w:val="99"/>
        <w:sz w:val="20"/>
        <w:szCs w:val="20"/>
        <w:lang w:val="en-AU" w:eastAsia="en-US" w:bidi="ar-SA"/>
      </w:rPr>
    </w:lvl>
    <w:lvl w:ilvl="1" w:tplc="DE6C6392">
      <w:numFmt w:val="bullet"/>
      <w:lvlText w:val="•"/>
      <w:lvlJc w:val="left"/>
      <w:pPr>
        <w:ind w:left="1812" w:hanging="687"/>
      </w:pPr>
      <w:rPr>
        <w:rFonts w:hint="default"/>
        <w:lang w:val="en-AU" w:eastAsia="en-US" w:bidi="ar-SA"/>
      </w:rPr>
    </w:lvl>
    <w:lvl w:ilvl="2" w:tplc="3D7C1360">
      <w:numFmt w:val="bullet"/>
      <w:lvlText w:val="•"/>
      <w:lvlJc w:val="left"/>
      <w:pPr>
        <w:ind w:left="2805" w:hanging="687"/>
      </w:pPr>
      <w:rPr>
        <w:rFonts w:hint="default"/>
        <w:lang w:val="en-AU" w:eastAsia="en-US" w:bidi="ar-SA"/>
      </w:rPr>
    </w:lvl>
    <w:lvl w:ilvl="3" w:tplc="89DAF01E">
      <w:numFmt w:val="bullet"/>
      <w:lvlText w:val="•"/>
      <w:lvlJc w:val="left"/>
      <w:pPr>
        <w:ind w:left="3797" w:hanging="687"/>
      </w:pPr>
      <w:rPr>
        <w:rFonts w:hint="default"/>
        <w:lang w:val="en-AU" w:eastAsia="en-US" w:bidi="ar-SA"/>
      </w:rPr>
    </w:lvl>
    <w:lvl w:ilvl="4" w:tplc="6EA2A992">
      <w:numFmt w:val="bullet"/>
      <w:lvlText w:val="•"/>
      <w:lvlJc w:val="left"/>
      <w:pPr>
        <w:ind w:left="4790" w:hanging="687"/>
      </w:pPr>
      <w:rPr>
        <w:rFonts w:hint="default"/>
        <w:lang w:val="en-AU" w:eastAsia="en-US" w:bidi="ar-SA"/>
      </w:rPr>
    </w:lvl>
    <w:lvl w:ilvl="5" w:tplc="B796A5BE">
      <w:numFmt w:val="bullet"/>
      <w:lvlText w:val="•"/>
      <w:lvlJc w:val="left"/>
      <w:pPr>
        <w:ind w:left="5783" w:hanging="687"/>
      </w:pPr>
      <w:rPr>
        <w:rFonts w:hint="default"/>
        <w:lang w:val="en-AU" w:eastAsia="en-US" w:bidi="ar-SA"/>
      </w:rPr>
    </w:lvl>
    <w:lvl w:ilvl="6" w:tplc="F7B44700">
      <w:numFmt w:val="bullet"/>
      <w:lvlText w:val="•"/>
      <w:lvlJc w:val="left"/>
      <w:pPr>
        <w:ind w:left="6775" w:hanging="687"/>
      </w:pPr>
      <w:rPr>
        <w:rFonts w:hint="default"/>
        <w:lang w:val="en-AU" w:eastAsia="en-US" w:bidi="ar-SA"/>
      </w:rPr>
    </w:lvl>
    <w:lvl w:ilvl="7" w:tplc="60F06918">
      <w:numFmt w:val="bullet"/>
      <w:lvlText w:val="•"/>
      <w:lvlJc w:val="left"/>
      <w:pPr>
        <w:ind w:left="7768" w:hanging="687"/>
      </w:pPr>
      <w:rPr>
        <w:rFonts w:hint="default"/>
        <w:lang w:val="en-AU" w:eastAsia="en-US" w:bidi="ar-SA"/>
      </w:rPr>
    </w:lvl>
    <w:lvl w:ilvl="8" w:tplc="1B2E3144">
      <w:numFmt w:val="bullet"/>
      <w:lvlText w:val="•"/>
      <w:lvlJc w:val="left"/>
      <w:pPr>
        <w:ind w:left="8761" w:hanging="687"/>
      </w:pPr>
      <w:rPr>
        <w:rFonts w:hint="default"/>
        <w:lang w:val="en-AU" w:eastAsia="en-US" w:bidi="ar-SA"/>
      </w:rPr>
    </w:lvl>
  </w:abstractNum>
  <w:num w:numId="1" w16cid:durableId="162861616">
    <w:abstractNumId w:val="1"/>
  </w:num>
  <w:num w:numId="2" w16cid:durableId="1744058944">
    <w:abstractNumId w:val="0"/>
  </w:num>
  <w:num w:numId="3" w16cid:durableId="141584522">
    <w:abstractNumId w:val="3"/>
  </w:num>
  <w:num w:numId="4" w16cid:durableId="91052165">
    <w:abstractNumId w:val="10"/>
  </w:num>
  <w:num w:numId="5" w16cid:durableId="2030837417">
    <w:abstractNumId w:val="12"/>
  </w:num>
  <w:num w:numId="6" w16cid:durableId="514878757">
    <w:abstractNumId w:val="11"/>
  </w:num>
  <w:num w:numId="7" w16cid:durableId="171800783">
    <w:abstractNumId w:val="7"/>
  </w:num>
  <w:num w:numId="8" w16cid:durableId="1510753668">
    <w:abstractNumId w:val="6"/>
  </w:num>
  <w:num w:numId="9" w16cid:durableId="148979217">
    <w:abstractNumId w:val="9"/>
  </w:num>
  <w:num w:numId="10" w16cid:durableId="228737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692947">
    <w:abstractNumId w:val="11"/>
  </w:num>
  <w:num w:numId="12" w16cid:durableId="2052609308">
    <w:abstractNumId w:val="11"/>
  </w:num>
  <w:num w:numId="13" w16cid:durableId="2036690778">
    <w:abstractNumId w:val="11"/>
  </w:num>
  <w:num w:numId="14" w16cid:durableId="871842402">
    <w:abstractNumId w:val="11"/>
  </w:num>
  <w:num w:numId="15" w16cid:durableId="474415382">
    <w:abstractNumId w:val="11"/>
  </w:num>
  <w:num w:numId="16" w16cid:durableId="776100579">
    <w:abstractNumId w:val="11"/>
  </w:num>
  <w:num w:numId="17" w16cid:durableId="13131745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936789">
    <w:abstractNumId w:val="5"/>
  </w:num>
  <w:num w:numId="19" w16cid:durableId="1663461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9475500">
    <w:abstractNumId w:val="8"/>
  </w:num>
  <w:num w:numId="21" w16cid:durableId="1661496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85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36"/>
    <w:rsid w:val="0001082D"/>
    <w:rsid w:val="0001569A"/>
    <w:rsid w:val="00143D4D"/>
    <w:rsid w:val="001568A8"/>
    <w:rsid w:val="001767AC"/>
    <w:rsid w:val="00205FE8"/>
    <w:rsid w:val="002606AC"/>
    <w:rsid w:val="00285C04"/>
    <w:rsid w:val="00286B79"/>
    <w:rsid w:val="002F1E4C"/>
    <w:rsid w:val="002F615F"/>
    <w:rsid w:val="00301C89"/>
    <w:rsid w:val="00321A63"/>
    <w:rsid w:val="0034469D"/>
    <w:rsid w:val="00344748"/>
    <w:rsid w:val="00355418"/>
    <w:rsid w:val="0037048D"/>
    <w:rsid w:val="003A3A5A"/>
    <w:rsid w:val="003C2EC8"/>
    <w:rsid w:val="003D0979"/>
    <w:rsid w:val="003D3E0D"/>
    <w:rsid w:val="003D5E23"/>
    <w:rsid w:val="00401CDE"/>
    <w:rsid w:val="00417648"/>
    <w:rsid w:val="00422E3B"/>
    <w:rsid w:val="00451335"/>
    <w:rsid w:val="00484E91"/>
    <w:rsid w:val="004A18F1"/>
    <w:rsid w:val="004B72E4"/>
    <w:rsid w:val="0051532A"/>
    <w:rsid w:val="00576681"/>
    <w:rsid w:val="005A3C0C"/>
    <w:rsid w:val="005E2495"/>
    <w:rsid w:val="006206F1"/>
    <w:rsid w:val="006826DA"/>
    <w:rsid w:val="006A0233"/>
    <w:rsid w:val="006A21B1"/>
    <w:rsid w:val="007126EF"/>
    <w:rsid w:val="007151F1"/>
    <w:rsid w:val="0072634D"/>
    <w:rsid w:val="00770993"/>
    <w:rsid w:val="00786555"/>
    <w:rsid w:val="007949C9"/>
    <w:rsid w:val="0079530F"/>
    <w:rsid w:val="007D559D"/>
    <w:rsid w:val="007E366D"/>
    <w:rsid w:val="00811B2A"/>
    <w:rsid w:val="00830792"/>
    <w:rsid w:val="00896A2F"/>
    <w:rsid w:val="008C21D0"/>
    <w:rsid w:val="00947273"/>
    <w:rsid w:val="00993DD0"/>
    <w:rsid w:val="00A40B76"/>
    <w:rsid w:val="00A52BC5"/>
    <w:rsid w:val="00A668CC"/>
    <w:rsid w:val="00AC0CCF"/>
    <w:rsid w:val="00B64C76"/>
    <w:rsid w:val="00C21856"/>
    <w:rsid w:val="00D01D3B"/>
    <w:rsid w:val="00D12BF5"/>
    <w:rsid w:val="00D36295"/>
    <w:rsid w:val="00D406CF"/>
    <w:rsid w:val="00DB0ECD"/>
    <w:rsid w:val="00DC75F7"/>
    <w:rsid w:val="00E575DA"/>
    <w:rsid w:val="00EE5BCD"/>
    <w:rsid w:val="00F07379"/>
    <w:rsid w:val="00F465F3"/>
    <w:rsid w:val="00FF2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1DBF621"/>
  <w15:docId w15:val="{BE6FF61D-0E45-4BF7-8E10-D26C1D1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CD"/>
    <w:pPr>
      <w:widowControl/>
      <w:spacing w:after="240"/>
      <w:jc w:val="both"/>
    </w:pPr>
    <w:rPr>
      <w:rFonts w:ascii="Century Gothic" w:eastAsia="Arial" w:hAnsi="Century Gothic" w:cs="Arial"/>
      <w:sz w:val="21"/>
      <w:lang w:val="en-AU"/>
    </w:rPr>
  </w:style>
  <w:style w:type="paragraph" w:styleId="Heading1">
    <w:name w:val="heading 1"/>
    <w:basedOn w:val="Normal"/>
    <w:next w:val="BodyText1"/>
    <w:uiPriority w:val="9"/>
    <w:qFormat/>
    <w:rsid w:val="00EE5BCD"/>
    <w:pPr>
      <w:keepNext/>
      <w:numPr>
        <w:numId w:val="6"/>
      </w:numPr>
      <w:pBdr>
        <w:top w:val="single" w:sz="12" w:space="1" w:color="auto"/>
      </w:pBdr>
      <w:outlineLvl w:val="0"/>
    </w:pPr>
    <w:rPr>
      <w:b/>
      <w:bCs/>
      <w:caps/>
      <w:kern w:val="28"/>
      <w:szCs w:val="24"/>
    </w:rPr>
  </w:style>
  <w:style w:type="paragraph" w:styleId="Heading2">
    <w:name w:val="heading 2"/>
    <w:basedOn w:val="Normal"/>
    <w:next w:val="BodyText2"/>
    <w:link w:val="Heading2Char"/>
    <w:uiPriority w:val="9"/>
    <w:unhideWhenUsed/>
    <w:qFormat/>
    <w:rsid w:val="00EE5BCD"/>
    <w:pPr>
      <w:keepNext/>
      <w:numPr>
        <w:ilvl w:val="1"/>
        <w:numId w:val="6"/>
      </w:numPr>
      <w:outlineLvl w:val="1"/>
    </w:pPr>
    <w:rPr>
      <w:rFonts w:eastAsiaTheme="majorEastAsia" w:cstheme="majorBidi"/>
      <w:b/>
      <w:szCs w:val="26"/>
    </w:rPr>
  </w:style>
  <w:style w:type="paragraph" w:styleId="Heading3">
    <w:name w:val="heading 3"/>
    <w:basedOn w:val="Normal"/>
    <w:link w:val="Heading3Char"/>
    <w:uiPriority w:val="9"/>
    <w:unhideWhenUsed/>
    <w:qFormat/>
    <w:rsid w:val="00EE5BCD"/>
    <w:pPr>
      <w:numPr>
        <w:ilvl w:val="3"/>
        <w:numId w:val="6"/>
      </w:numPr>
      <w:outlineLvl w:val="2"/>
    </w:pPr>
    <w:rPr>
      <w:rFonts w:eastAsiaTheme="majorEastAsia" w:cstheme="majorBidi"/>
      <w:szCs w:val="24"/>
    </w:rPr>
  </w:style>
  <w:style w:type="paragraph" w:styleId="Heading4">
    <w:name w:val="heading 4"/>
    <w:basedOn w:val="Normal"/>
    <w:link w:val="Heading4Char"/>
    <w:uiPriority w:val="9"/>
    <w:semiHidden/>
    <w:unhideWhenUsed/>
    <w:qFormat/>
    <w:rsid w:val="00EE5BCD"/>
    <w:pPr>
      <w:numPr>
        <w:ilvl w:val="4"/>
        <w:numId w:val="6"/>
      </w:numPr>
      <w:outlineLvl w:val="3"/>
    </w:pPr>
    <w:rPr>
      <w:rFonts w:eastAsiaTheme="majorEastAsia" w:cstheme="majorBidi"/>
      <w:iCs/>
    </w:rPr>
  </w:style>
  <w:style w:type="paragraph" w:styleId="Heading5">
    <w:name w:val="heading 5"/>
    <w:basedOn w:val="Normal"/>
    <w:link w:val="Heading5Char"/>
    <w:uiPriority w:val="9"/>
    <w:semiHidden/>
    <w:unhideWhenUsed/>
    <w:qFormat/>
    <w:rsid w:val="00EE5BCD"/>
    <w:pPr>
      <w:numPr>
        <w:ilvl w:val="5"/>
        <w:numId w:val="6"/>
      </w:numPr>
      <w:outlineLvl w:val="4"/>
    </w:pPr>
    <w:rPr>
      <w:rFonts w:eastAsiaTheme="majorEastAsia" w:cstheme="majorBidi"/>
    </w:rPr>
  </w:style>
  <w:style w:type="paragraph" w:styleId="Heading6">
    <w:name w:val="heading 6"/>
    <w:basedOn w:val="Normal"/>
    <w:next w:val="BodyText6"/>
    <w:link w:val="Heading6Char"/>
    <w:uiPriority w:val="9"/>
    <w:semiHidden/>
    <w:unhideWhenUsed/>
    <w:qFormat/>
    <w:rsid w:val="00EE5BCD"/>
    <w:pPr>
      <w:numPr>
        <w:ilvl w:val="6"/>
        <w:numId w:val="6"/>
      </w:numPr>
      <w:outlineLvl w:val="5"/>
    </w:pPr>
    <w:rPr>
      <w:rFonts w:eastAsiaTheme="majorEastAsia" w:cstheme="majorBidi"/>
    </w:rPr>
  </w:style>
  <w:style w:type="paragraph" w:styleId="Heading7">
    <w:name w:val="heading 7"/>
    <w:basedOn w:val="Normal"/>
    <w:next w:val="Normal"/>
    <w:link w:val="Heading7Char"/>
    <w:uiPriority w:val="9"/>
    <w:semiHidden/>
    <w:unhideWhenUsed/>
    <w:rsid w:val="00EE5BCD"/>
    <w:pPr>
      <w:keepNext/>
      <w:numPr>
        <w:ilvl w:val="2"/>
        <w:numId w:val="6"/>
      </w:numPr>
      <w:outlineLvl w:val="6"/>
    </w:pPr>
    <w:rPr>
      <w:rFonts w:eastAsiaTheme="majorEastAsia" w:cstheme="majorBidi"/>
      <w:b/>
      <w:iCs/>
    </w:rPr>
  </w:style>
  <w:style w:type="paragraph" w:styleId="Heading8">
    <w:name w:val="heading 8"/>
    <w:basedOn w:val="Normal"/>
    <w:next w:val="Normal"/>
    <w:link w:val="Heading8Char"/>
    <w:uiPriority w:val="9"/>
    <w:semiHidden/>
    <w:unhideWhenUsed/>
    <w:rsid w:val="00EE5BCD"/>
    <w:pPr>
      <w:keepNext/>
      <w:numPr>
        <w:ilvl w:val="7"/>
        <w:numId w:val="6"/>
      </w:numPr>
      <w:outlineLvl w:val="7"/>
    </w:pPr>
    <w:rPr>
      <w:rFonts w:eastAsiaTheme="majorEastAsia" w:cstheme="majorBidi"/>
      <w:caps/>
      <w:szCs w:val="21"/>
    </w:rPr>
  </w:style>
  <w:style w:type="paragraph" w:styleId="Heading9">
    <w:name w:val="heading 9"/>
    <w:basedOn w:val="Normal"/>
    <w:next w:val="Normal"/>
    <w:link w:val="Heading9Char"/>
    <w:uiPriority w:val="9"/>
    <w:semiHidden/>
    <w:unhideWhenUsed/>
    <w:rsid w:val="00EE5BCD"/>
    <w:pPr>
      <w:numPr>
        <w:ilvl w:val="8"/>
        <w:numId w:val="6"/>
      </w:numPr>
      <w:spacing w:after="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E5BCD"/>
    <w:rPr>
      <w:szCs w:val="20"/>
    </w:rPr>
  </w:style>
  <w:style w:type="paragraph" w:styleId="Title">
    <w:name w:val="Title"/>
    <w:basedOn w:val="Normal"/>
    <w:uiPriority w:val="10"/>
    <w:qFormat/>
    <w:pPr>
      <w:spacing w:before="87"/>
      <w:ind w:left="111"/>
    </w:pPr>
    <w:rPr>
      <w:rFonts w:ascii="Arial" w:hAnsi="Arial"/>
      <w:b/>
      <w:bCs/>
      <w:sz w:val="40"/>
      <w:szCs w:val="40"/>
      <w:u w:val="single" w:color="000000"/>
    </w:rPr>
  </w:style>
  <w:style w:type="paragraph" w:styleId="ListParagraph">
    <w:name w:val="List Paragraph"/>
    <w:basedOn w:val="Normal"/>
    <w:uiPriority w:val="1"/>
    <w:qFormat/>
    <w:pPr>
      <w:ind w:left="826" w:hanging="687"/>
    </w:pPr>
    <w:rPr>
      <w:rFonts w:ascii="Arial" w:hAnsi="Arial"/>
    </w:rPr>
  </w:style>
  <w:style w:type="paragraph" w:customStyle="1" w:styleId="TableParagraph">
    <w:name w:val="Table Paragraph"/>
    <w:basedOn w:val="Normal"/>
    <w:uiPriority w:val="1"/>
    <w:qFormat/>
    <w:pPr>
      <w:spacing w:before="146"/>
      <w:ind w:left="108"/>
    </w:pPr>
    <w:rPr>
      <w:rFonts w:ascii="Arial" w:hAnsi="Arial"/>
    </w:rPr>
  </w:style>
  <w:style w:type="paragraph" w:styleId="Header">
    <w:name w:val="header"/>
    <w:basedOn w:val="Normal"/>
    <w:link w:val="HeaderChar"/>
    <w:unhideWhenUsed/>
    <w:rsid w:val="00EE5BCD"/>
    <w:pPr>
      <w:spacing w:after="0"/>
      <w:jc w:val="left"/>
    </w:pPr>
  </w:style>
  <w:style w:type="character" w:customStyle="1" w:styleId="HeaderChar">
    <w:name w:val="Header Char"/>
    <w:basedOn w:val="DefaultParagraphFont"/>
    <w:link w:val="Header"/>
    <w:rsid w:val="00EE5BCD"/>
    <w:rPr>
      <w:rFonts w:ascii="Century Gothic" w:eastAsia="Arial" w:hAnsi="Century Gothic" w:cs="Arial"/>
      <w:sz w:val="21"/>
      <w:lang w:val="en-AU"/>
    </w:rPr>
  </w:style>
  <w:style w:type="paragraph" w:styleId="Footer">
    <w:name w:val="footer"/>
    <w:basedOn w:val="Normal"/>
    <w:link w:val="FooterChar"/>
    <w:unhideWhenUsed/>
    <w:rsid w:val="00EE5BCD"/>
    <w:pPr>
      <w:pBdr>
        <w:top w:val="single" w:sz="4" w:space="1" w:color="auto"/>
      </w:pBdr>
      <w:tabs>
        <w:tab w:val="center" w:pos="4535"/>
        <w:tab w:val="right" w:pos="9071"/>
      </w:tabs>
      <w:jc w:val="left"/>
    </w:pPr>
    <w:rPr>
      <w:sz w:val="12"/>
    </w:rPr>
  </w:style>
  <w:style w:type="character" w:customStyle="1" w:styleId="FooterChar">
    <w:name w:val="Footer Char"/>
    <w:basedOn w:val="DefaultParagraphFont"/>
    <w:link w:val="Footer"/>
    <w:rsid w:val="00EE5BCD"/>
    <w:rPr>
      <w:rFonts w:ascii="Century Gothic" w:eastAsia="Arial" w:hAnsi="Century Gothic" w:cs="Arial"/>
      <w:sz w:val="12"/>
      <w:lang w:val="en-AU"/>
    </w:rPr>
  </w:style>
  <w:style w:type="paragraph" w:styleId="FootnoteText">
    <w:name w:val="footnote text"/>
    <w:basedOn w:val="Normal"/>
    <w:link w:val="FootnoteTextChar"/>
    <w:uiPriority w:val="99"/>
    <w:semiHidden/>
    <w:unhideWhenUsed/>
    <w:rsid w:val="00EE5BCD"/>
    <w:pPr>
      <w:spacing w:after="0"/>
      <w:jc w:val="left"/>
    </w:pPr>
    <w:rPr>
      <w:sz w:val="16"/>
      <w:szCs w:val="20"/>
    </w:rPr>
  </w:style>
  <w:style w:type="character" w:customStyle="1" w:styleId="FootnoteTextChar">
    <w:name w:val="Footnote Text Char"/>
    <w:basedOn w:val="DefaultParagraphFont"/>
    <w:link w:val="FootnoteText"/>
    <w:uiPriority w:val="99"/>
    <w:semiHidden/>
    <w:rsid w:val="00EE5BCD"/>
    <w:rPr>
      <w:rFonts w:ascii="Century Gothic" w:eastAsia="Arial" w:hAnsi="Century Gothic" w:cs="Arial"/>
      <w:sz w:val="16"/>
      <w:szCs w:val="20"/>
      <w:lang w:val="en-AU"/>
    </w:rPr>
  </w:style>
  <w:style w:type="paragraph" w:customStyle="1" w:styleId="BorderTitle">
    <w:name w:val="Border Title"/>
    <w:basedOn w:val="Normal"/>
    <w:next w:val="BodyText"/>
    <w:rsid w:val="00EE5BCD"/>
    <w:pPr>
      <w:pBdr>
        <w:top w:val="single" w:sz="12" w:space="2" w:color="auto"/>
        <w:bottom w:val="single" w:sz="12" w:space="2" w:color="auto"/>
      </w:pBdr>
    </w:pPr>
    <w:rPr>
      <w:b/>
      <w:caps/>
      <w:spacing w:val="30"/>
      <w:kern w:val="28"/>
      <w:sz w:val="23"/>
    </w:rPr>
  </w:style>
  <w:style w:type="paragraph" w:customStyle="1" w:styleId="BorderTop">
    <w:name w:val="Border Top"/>
    <w:basedOn w:val="Normal"/>
    <w:next w:val="BodyText"/>
    <w:rsid w:val="00EE5BCD"/>
    <w:pPr>
      <w:pBdr>
        <w:top w:val="single" w:sz="8" w:space="2" w:color="auto"/>
      </w:pBdr>
    </w:pPr>
    <w:rPr>
      <w:b/>
    </w:rPr>
  </w:style>
  <w:style w:type="paragraph" w:customStyle="1" w:styleId="BorderBottom">
    <w:name w:val="Border Bottom"/>
    <w:basedOn w:val="Normal"/>
    <w:next w:val="BodyText"/>
    <w:rsid w:val="00EE5BCD"/>
    <w:pPr>
      <w:pBdr>
        <w:bottom w:val="single" w:sz="8" w:space="2" w:color="auto"/>
      </w:pBdr>
    </w:pPr>
    <w:rPr>
      <w:b/>
    </w:rPr>
  </w:style>
  <w:style w:type="paragraph" w:customStyle="1" w:styleId="InstructionsParagraph">
    <w:name w:val="Instructions Paragraph"/>
    <w:qFormat/>
    <w:rsid w:val="00EE5BCD"/>
    <w:pPr>
      <w:widowControl/>
      <w:shd w:val="clear" w:color="000080" w:fill="CCCCCC"/>
      <w:spacing w:after="240"/>
      <w:jc w:val="both"/>
    </w:pPr>
    <w:rPr>
      <w:rFonts w:ascii="Century Gothic" w:eastAsia="Arial" w:hAnsi="Century Gothic" w:cs="Arial"/>
      <w:color w:val="000080"/>
      <w:sz w:val="21"/>
      <w:lang w:val="en-AU"/>
    </w:rPr>
  </w:style>
  <w:style w:type="character" w:customStyle="1" w:styleId="InstructionsCharacter">
    <w:name w:val="Instructions Character"/>
    <w:basedOn w:val="DefaultParagraphFont"/>
    <w:rsid w:val="00EE5BCD"/>
    <w:rPr>
      <w:b w:val="0"/>
      <w:color w:val="000080"/>
      <w:shd w:val="clear" w:color="auto" w:fill="CCCCCC"/>
    </w:rPr>
  </w:style>
  <w:style w:type="paragraph" w:styleId="Quote">
    <w:name w:val="Quote"/>
    <w:basedOn w:val="Normal"/>
    <w:link w:val="QuoteChar1"/>
    <w:uiPriority w:val="29"/>
    <w:qFormat/>
    <w:rsid w:val="00EE5BCD"/>
    <w:pPr>
      <w:ind w:left="1417" w:right="850"/>
    </w:pPr>
    <w:rPr>
      <w:i/>
      <w:iCs/>
    </w:rPr>
  </w:style>
  <w:style w:type="character" w:customStyle="1" w:styleId="QuoteChar">
    <w:name w:val="Quote Char"/>
    <w:basedOn w:val="DefaultParagraphFont"/>
    <w:uiPriority w:val="29"/>
    <w:rsid w:val="00EE5BCD"/>
    <w:rPr>
      <w:rFonts w:ascii="Century Gothic" w:eastAsia="Arial" w:hAnsi="Century Gothic" w:cs="Arial"/>
      <w:i/>
      <w:iCs/>
      <w:color w:val="404040" w:themeColor="text1" w:themeTint="BF"/>
      <w:sz w:val="21"/>
      <w:lang w:val="en-AU"/>
    </w:rPr>
  </w:style>
  <w:style w:type="character" w:customStyle="1" w:styleId="QuoteChar1">
    <w:name w:val="Quote Char1"/>
    <w:basedOn w:val="DefaultParagraphFont"/>
    <w:link w:val="Quote"/>
    <w:uiPriority w:val="29"/>
    <w:rsid w:val="00EE5BCD"/>
    <w:rPr>
      <w:rFonts w:ascii="Century Gothic" w:eastAsia="Arial" w:hAnsi="Century Gothic" w:cs="Arial"/>
      <w:i/>
      <w:iCs/>
      <w:sz w:val="21"/>
      <w:lang w:val="en-AU"/>
    </w:rPr>
  </w:style>
  <w:style w:type="paragraph" w:customStyle="1" w:styleId="BodyText1">
    <w:name w:val="Body Text 1"/>
    <w:basedOn w:val="Normal"/>
    <w:rsid w:val="00EE5BCD"/>
    <w:pPr>
      <w:ind w:left="850"/>
    </w:pPr>
  </w:style>
  <w:style w:type="paragraph" w:styleId="BodyText2">
    <w:name w:val="Body Text 2"/>
    <w:basedOn w:val="Normal"/>
    <w:link w:val="BodyText2Char1"/>
    <w:uiPriority w:val="99"/>
    <w:unhideWhenUsed/>
    <w:rsid w:val="00EE5BCD"/>
    <w:pPr>
      <w:ind w:left="850"/>
    </w:pPr>
  </w:style>
  <w:style w:type="character" w:customStyle="1" w:styleId="BodyText2Char">
    <w:name w:val="Body Text 2 Char"/>
    <w:basedOn w:val="DefaultParagraphFont"/>
    <w:uiPriority w:val="99"/>
    <w:semiHidden/>
    <w:rsid w:val="00EE5BCD"/>
    <w:rPr>
      <w:rFonts w:ascii="Century Gothic" w:eastAsia="Arial" w:hAnsi="Century Gothic" w:cs="Arial"/>
      <w:sz w:val="21"/>
      <w:lang w:val="en-AU"/>
    </w:rPr>
  </w:style>
  <w:style w:type="character" w:customStyle="1" w:styleId="BodyText2Char1">
    <w:name w:val="Body Text 2 Char1"/>
    <w:basedOn w:val="DefaultParagraphFont"/>
    <w:link w:val="BodyText2"/>
    <w:uiPriority w:val="99"/>
    <w:rsid w:val="00EE5BCD"/>
    <w:rPr>
      <w:rFonts w:ascii="Century Gothic" w:eastAsia="Arial" w:hAnsi="Century Gothic" w:cs="Arial"/>
      <w:sz w:val="21"/>
      <w:lang w:val="en-AU"/>
    </w:rPr>
  </w:style>
  <w:style w:type="paragraph" w:styleId="BodyText3">
    <w:name w:val="Body Text 3"/>
    <w:basedOn w:val="Normal"/>
    <w:link w:val="BodyText3Char1"/>
    <w:uiPriority w:val="99"/>
    <w:semiHidden/>
    <w:unhideWhenUsed/>
    <w:rsid w:val="00EE5BCD"/>
    <w:pPr>
      <w:ind w:left="1701"/>
    </w:pPr>
    <w:rPr>
      <w:szCs w:val="16"/>
    </w:rPr>
  </w:style>
  <w:style w:type="character" w:customStyle="1" w:styleId="BodyText3Char">
    <w:name w:val="Body Text 3 Char"/>
    <w:basedOn w:val="DefaultParagraphFont"/>
    <w:uiPriority w:val="99"/>
    <w:semiHidden/>
    <w:rsid w:val="00EE5BCD"/>
    <w:rPr>
      <w:rFonts w:ascii="Century Gothic" w:eastAsia="Arial" w:hAnsi="Century Gothic" w:cs="Arial"/>
      <w:sz w:val="16"/>
      <w:szCs w:val="16"/>
      <w:lang w:val="en-AU"/>
    </w:rPr>
  </w:style>
  <w:style w:type="character" w:customStyle="1" w:styleId="BodyText3Char1">
    <w:name w:val="Body Text 3 Char1"/>
    <w:basedOn w:val="DefaultParagraphFont"/>
    <w:link w:val="BodyText3"/>
    <w:uiPriority w:val="99"/>
    <w:semiHidden/>
    <w:rsid w:val="00EE5BCD"/>
    <w:rPr>
      <w:rFonts w:ascii="Century Gothic" w:eastAsia="Arial" w:hAnsi="Century Gothic" w:cs="Arial"/>
      <w:sz w:val="21"/>
      <w:szCs w:val="16"/>
      <w:lang w:val="en-AU"/>
    </w:rPr>
  </w:style>
  <w:style w:type="paragraph" w:customStyle="1" w:styleId="BodyText4">
    <w:name w:val="Body Text 4"/>
    <w:basedOn w:val="Normal"/>
    <w:rsid w:val="00EE5BCD"/>
    <w:pPr>
      <w:ind w:left="2551"/>
    </w:pPr>
  </w:style>
  <w:style w:type="paragraph" w:customStyle="1" w:styleId="BodyText5">
    <w:name w:val="Body Text 5"/>
    <w:basedOn w:val="Normal"/>
    <w:rsid w:val="00EE5BCD"/>
    <w:pPr>
      <w:ind w:left="3402"/>
    </w:pPr>
  </w:style>
  <w:style w:type="paragraph" w:customStyle="1" w:styleId="BodyText6">
    <w:name w:val="Body Text 6"/>
    <w:basedOn w:val="Normal"/>
    <w:rsid w:val="00EE5BCD"/>
    <w:pPr>
      <w:ind w:left="4252"/>
    </w:pPr>
  </w:style>
  <w:style w:type="character" w:customStyle="1" w:styleId="Heading2Char">
    <w:name w:val="Heading 2 Char"/>
    <w:basedOn w:val="DefaultParagraphFont"/>
    <w:link w:val="Heading2"/>
    <w:uiPriority w:val="9"/>
    <w:rsid w:val="00EE5BCD"/>
    <w:rPr>
      <w:rFonts w:ascii="Century Gothic" w:eastAsiaTheme="majorEastAsia" w:hAnsi="Century Gothic" w:cstheme="majorBidi"/>
      <w:b/>
      <w:sz w:val="21"/>
      <w:szCs w:val="26"/>
      <w:lang w:val="en-AU"/>
    </w:rPr>
  </w:style>
  <w:style w:type="character" w:customStyle="1" w:styleId="Heading3Char">
    <w:name w:val="Heading 3 Char"/>
    <w:basedOn w:val="DefaultParagraphFont"/>
    <w:link w:val="Heading3"/>
    <w:uiPriority w:val="9"/>
    <w:rsid w:val="00EE5BCD"/>
    <w:rPr>
      <w:rFonts w:ascii="Century Gothic" w:eastAsiaTheme="majorEastAsia" w:hAnsi="Century Gothic" w:cstheme="majorBidi"/>
      <w:sz w:val="21"/>
      <w:szCs w:val="24"/>
      <w:lang w:val="en-AU"/>
    </w:rPr>
  </w:style>
  <w:style w:type="character" w:customStyle="1" w:styleId="Heading4Char">
    <w:name w:val="Heading 4 Char"/>
    <w:basedOn w:val="DefaultParagraphFont"/>
    <w:link w:val="Heading4"/>
    <w:uiPriority w:val="9"/>
    <w:semiHidden/>
    <w:rsid w:val="00EE5BCD"/>
    <w:rPr>
      <w:rFonts w:ascii="Century Gothic" w:eastAsiaTheme="majorEastAsia" w:hAnsi="Century Gothic" w:cstheme="majorBidi"/>
      <w:iCs/>
      <w:sz w:val="21"/>
      <w:lang w:val="en-AU"/>
    </w:rPr>
  </w:style>
  <w:style w:type="character" w:customStyle="1" w:styleId="Heading5Char">
    <w:name w:val="Heading 5 Char"/>
    <w:basedOn w:val="DefaultParagraphFont"/>
    <w:link w:val="Heading5"/>
    <w:uiPriority w:val="9"/>
    <w:semiHidden/>
    <w:rsid w:val="00EE5BCD"/>
    <w:rPr>
      <w:rFonts w:ascii="Century Gothic" w:eastAsiaTheme="majorEastAsia" w:hAnsi="Century Gothic" w:cstheme="majorBidi"/>
      <w:sz w:val="21"/>
      <w:lang w:val="en-AU"/>
    </w:rPr>
  </w:style>
  <w:style w:type="character" w:customStyle="1" w:styleId="Heading6Char">
    <w:name w:val="Heading 6 Char"/>
    <w:basedOn w:val="DefaultParagraphFont"/>
    <w:link w:val="Heading6"/>
    <w:uiPriority w:val="9"/>
    <w:semiHidden/>
    <w:rsid w:val="00EE5BCD"/>
    <w:rPr>
      <w:rFonts w:ascii="Century Gothic" w:eastAsiaTheme="majorEastAsia" w:hAnsi="Century Gothic" w:cstheme="majorBidi"/>
      <w:sz w:val="21"/>
      <w:lang w:val="en-AU"/>
    </w:rPr>
  </w:style>
  <w:style w:type="character" w:customStyle="1" w:styleId="Heading7Char">
    <w:name w:val="Heading 7 Char"/>
    <w:basedOn w:val="DefaultParagraphFont"/>
    <w:link w:val="Heading7"/>
    <w:uiPriority w:val="9"/>
    <w:semiHidden/>
    <w:rsid w:val="00EE5BCD"/>
    <w:rPr>
      <w:rFonts w:ascii="Century Gothic" w:eastAsiaTheme="majorEastAsia" w:hAnsi="Century Gothic" w:cstheme="majorBidi"/>
      <w:b/>
      <w:iCs/>
      <w:sz w:val="21"/>
      <w:lang w:val="en-AU"/>
    </w:rPr>
  </w:style>
  <w:style w:type="character" w:customStyle="1" w:styleId="Heading8Char">
    <w:name w:val="Heading 8 Char"/>
    <w:basedOn w:val="DefaultParagraphFont"/>
    <w:link w:val="Heading8"/>
    <w:uiPriority w:val="9"/>
    <w:semiHidden/>
    <w:rsid w:val="00EE5BCD"/>
    <w:rPr>
      <w:rFonts w:ascii="Century Gothic" w:eastAsiaTheme="majorEastAsia" w:hAnsi="Century Gothic" w:cstheme="majorBidi"/>
      <w:caps/>
      <w:sz w:val="21"/>
      <w:szCs w:val="21"/>
      <w:lang w:val="en-AU"/>
    </w:rPr>
  </w:style>
  <w:style w:type="character" w:customStyle="1" w:styleId="Heading9Char">
    <w:name w:val="Heading 9 Char"/>
    <w:basedOn w:val="DefaultParagraphFont"/>
    <w:link w:val="Heading9"/>
    <w:uiPriority w:val="9"/>
    <w:semiHidden/>
    <w:rsid w:val="00EE5BCD"/>
    <w:rPr>
      <w:rFonts w:ascii="Century Gothic" w:eastAsiaTheme="majorEastAsia" w:hAnsi="Century Gothic" w:cstheme="majorBidi"/>
      <w:iCs/>
      <w:sz w:val="21"/>
      <w:szCs w:val="21"/>
      <w:lang w:val="en-AU"/>
    </w:rPr>
  </w:style>
  <w:style w:type="paragraph" w:customStyle="1" w:styleId="Schedule">
    <w:name w:val="Schedule"/>
    <w:basedOn w:val="Normal"/>
    <w:next w:val="BodyText"/>
    <w:rsid w:val="00EE5BCD"/>
    <w:pPr>
      <w:numPr>
        <w:numId w:val="7"/>
      </w:numPr>
      <w:pBdr>
        <w:top w:val="single" w:sz="12" w:space="2" w:color="auto"/>
        <w:bottom w:val="single" w:sz="12" w:space="2" w:color="auto"/>
      </w:pBdr>
      <w:jc w:val="left"/>
      <w:outlineLvl w:val="0"/>
    </w:pPr>
    <w:rPr>
      <w:b/>
      <w:caps/>
      <w:spacing w:val="30"/>
      <w:kern w:val="28"/>
      <w:sz w:val="23"/>
    </w:rPr>
  </w:style>
  <w:style w:type="paragraph" w:customStyle="1" w:styleId="Schedule1">
    <w:name w:val="Schedule 1"/>
    <w:basedOn w:val="Normal"/>
    <w:next w:val="BodyText1"/>
    <w:rsid w:val="00EE5BCD"/>
    <w:pPr>
      <w:keepNext/>
      <w:numPr>
        <w:ilvl w:val="1"/>
        <w:numId w:val="7"/>
      </w:numPr>
      <w:outlineLvl w:val="1"/>
    </w:pPr>
    <w:rPr>
      <w:b/>
    </w:rPr>
  </w:style>
  <w:style w:type="paragraph" w:customStyle="1" w:styleId="Schedule2">
    <w:name w:val="Schedule 2"/>
    <w:basedOn w:val="Normal"/>
    <w:next w:val="BodyText2"/>
    <w:rsid w:val="00EE5BCD"/>
    <w:pPr>
      <w:keepNext/>
      <w:numPr>
        <w:ilvl w:val="2"/>
        <w:numId w:val="7"/>
      </w:numPr>
      <w:outlineLvl w:val="2"/>
    </w:pPr>
    <w:rPr>
      <w:b/>
    </w:rPr>
  </w:style>
  <w:style w:type="paragraph" w:customStyle="1" w:styleId="Schedule3">
    <w:name w:val="Schedule 3"/>
    <w:basedOn w:val="Normal"/>
    <w:rsid w:val="00EE5BCD"/>
    <w:pPr>
      <w:numPr>
        <w:ilvl w:val="3"/>
        <w:numId w:val="7"/>
      </w:numPr>
      <w:outlineLvl w:val="3"/>
    </w:pPr>
  </w:style>
  <w:style w:type="paragraph" w:customStyle="1" w:styleId="Schedule4">
    <w:name w:val="Schedule 4"/>
    <w:basedOn w:val="Normal"/>
    <w:rsid w:val="00EE5BCD"/>
    <w:pPr>
      <w:numPr>
        <w:ilvl w:val="4"/>
        <w:numId w:val="7"/>
      </w:numPr>
      <w:outlineLvl w:val="4"/>
    </w:pPr>
  </w:style>
  <w:style w:type="paragraph" w:customStyle="1" w:styleId="Schedule5">
    <w:name w:val="Schedule 5"/>
    <w:basedOn w:val="Normal"/>
    <w:rsid w:val="00EE5BCD"/>
    <w:pPr>
      <w:numPr>
        <w:ilvl w:val="5"/>
        <w:numId w:val="7"/>
      </w:numPr>
      <w:outlineLvl w:val="5"/>
    </w:pPr>
  </w:style>
  <w:style w:type="paragraph" w:customStyle="1" w:styleId="Schedule6">
    <w:name w:val="Schedule 6"/>
    <w:basedOn w:val="Normal"/>
    <w:rsid w:val="00EE5BCD"/>
    <w:pPr>
      <w:numPr>
        <w:ilvl w:val="6"/>
        <w:numId w:val="7"/>
      </w:numPr>
      <w:outlineLvl w:val="6"/>
    </w:pPr>
  </w:style>
  <w:style w:type="paragraph" w:customStyle="1" w:styleId="ScheduleAnnexed">
    <w:name w:val="Schedule (Annexed)"/>
    <w:basedOn w:val="Normal"/>
    <w:next w:val="BodyText"/>
    <w:rsid w:val="00EE5BCD"/>
    <w:pPr>
      <w:pBdr>
        <w:top w:val="single" w:sz="12" w:space="2" w:color="auto"/>
        <w:bottom w:val="single" w:sz="12" w:space="2" w:color="auto"/>
      </w:pBdr>
      <w:jc w:val="left"/>
      <w:outlineLvl w:val="0"/>
    </w:pPr>
    <w:rPr>
      <w:b/>
      <w:caps/>
      <w:spacing w:val="30"/>
      <w:kern w:val="28"/>
      <w:sz w:val="23"/>
    </w:rPr>
  </w:style>
  <w:style w:type="paragraph" w:customStyle="1" w:styleId="Annexure">
    <w:name w:val="Annexure"/>
    <w:basedOn w:val="Normal"/>
    <w:next w:val="BodyText"/>
    <w:rsid w:val="00EE5BCD"/>
    <w:pPr>
      <w:pBdr>
        <w:top w:val="single" w:sz="12" w:space="2" w:color="auto"/>
        <w:bottom w:val="single" w:sz="12" w:space="2" w:color="auto"/>
      </w:pBdr>
      <w:jc w:val="left"/>
      <w:outlineLvl w:val="0"/>
    </w:pPr>
    <w:rPr>
      <w:b/>
      <w:caps/>
      <w:spacing w:val="30"/>
      <w:kern w:val="28"/>
      <w:sz w:val="23"/>
    </w:rPr>
  </w:style>
  <w:style w:type="paragraph" w:customStyle="1" w:styleId="Item">
    <w:name w:val="Item"/>
    <w:basedOn w:val="Normal"/>
    <w:next w:val="BodyText"/>
    <w:rsid w:val="00EE5BCD"/>
    <w:pPr>
      <w:numPr>
        <w:numId w:val="8"/>
      </w:numPr>
    </w:pPr>
    <w:rPr>
      <w:b/>
      <w:u w:val="single"/>
    </w:rPr>
  </w:style>
  <w:style w:type="paragraph" w:customStyle="1" w:styleId="TableNote">
    <w:name w:val="Table Note"/>
    <w:basedOn w:val="Normal"/>
    <w:next w:val="BodyText"/>
    <w:rsid w:val="00EE5BCD"/>
    <w:pPr>
      <w:spacing w:after="60"/>
    </w:pPr>
    <w:rPr>
      <w:sz w:val="18"/>
    </w:rPr>
  </w:style>
  <w:style w:type="paragraph" w:customStyle="1" w:styleId="TableText">
    <w:name w:val="Table Text"/>
    <w:rsid w:val="00EE5BCD"/>
    <w:pPr>
      <w:widowControl/>
      <w:spacing w:before="60" w:after="60"/>
      <w:jc w:val="both"/>
    </w:pPr>
    <w:rPr>
      <w:rFonts w:ascii="Century Gothic" w:eastAsia="Arial" w:hAnsi="Century Gothic" w:cs="Arial"/>
      <w:sz w:val="21"/>
      <w:lang w:val="en-AU"/>
    </w:rPr>
  </w:style>
  <w:style w:type="paragraph" w:customStyle="1" w:styleId="TableText1">
    <w:name w:val="Table Text 1"/>
    <w:basedOn w:val="Normal"/>
    <w:qFormat/>
    <w:rsid w:val="00EE5BCD"/>
    <w:pPr>
      <w:keepNext/>
      <w:numPr>
        <w:numId w:val="9"/>
      </w:numPr>
      <w:spacing w:before="60" w:after="60"/>
      <w:outlineLvl w:val="0"/>
    </w:pPr>
    <w:rPr>
      <w:b/>
      <w:caps/>
      <w:kern w:val="28"/>
    </w:rPr>
  </w:style>
  <w:style w:type="paragraph" w:customStyle="1" w:styleId="TableText2">
    <w:name w:val="Table Text 2"/>
    <w:basedOn w:val="Normal"/>
    <w:qFormat/>
    <w:rsid w:val="00EE5BCD"/>
    <w:pPr>
      <w:keepNext/>
      <w:numPr>
        <w:ilvl w:val="1"/>
        <w:numId w:val="9"/>
      </w:numPr>
      <w:spacing w:before="60" w:after="60"/>
      <w:outlineLvl w:val="1"/>
    </w:pPr>
  </w:style>
  <w:style w:type="paragraph" w:customStyle="1" w:styleId="TableText3">
    <w:name w:val="Table Text 3"/>
    <w:basedOn w:val="Normal"/>
    <w:qFormat/>
    <w:rsid w:val="00EE5BCD"/>
    <w:pPr>
      <w:numPr>
        <w:ilvl w:val="2"/>
        <w:numId w:val="9"/>
      </w:numPr>
      <w:spacing w:before="60" w:after="60"/>
      <w:outlineLvl w:val="3"/>
    </w:pPr>
  </w:style>
  <w:style w:type="paragraph" w:customStyle="1" w:styleId="TableText4">
    <w:name w:val="Table Text 4"/>
    <w:basedOn w:val="Normal"/>
    <w:qFormat/>
    <w:rsid w:val="00EE5BCD"/>
    <w:pPr>
      <w:numPr>
        <w:ilvl w:val="3"/>
        <w:numId w:val="9"/>
      </w:numPr>
      <w:spacing w:before="60" w:after="60"/>
      <w:outlineLvl w:val="4"/>
    </w:pPr>
  </w:style>
  <w:style w:type="paragraph" w:customStyle="1" w:styleId="TableText5">
    <w:name w:val="Table Text 5"/>
    <w:basedOn w:val="Normal"/>
    <w:qFormat/>
    <w:rsid w:val="00EE5BCD"/>
    <w:pPr>
      <w:numPr>
        <w:ilvl w:val="4"/>
        <w:numId w:val="9"/>
      </w:numPr>
      <w:spacing w:before="60" w:after="60"/>
      <w:outlineLvl w:val="5"/>
    </w:pPr>
  </w:style>
  <w:style w:type="paragraph" w:customStyle="1" w:styleId="Body">
    <w:name w:val="Body"/>
    <w:basedOn w:val="Normal"/>
    <w:rsid w:val="00EE5BCD"/>
    <w:pPr>
      <w:autoSpaceDE/>
      <w:autoSpaceDN/>
    </w:pPr>
    <w:rPr>
      <w:rFonts w:eastAsia="Times New Roman" w:cs="Times New Roman"/>
      <w:szCs w:val="20"/>
    </w:rPr>
  </w:style>
  <w:style w:type="character" w:styleId="PageNumber">
    <w:name w:val="page number"/>
    <w:basedOn w:val="DefaultParagraphFont"/>
    <w:rsid w:val="00EE5BCD"/>
    <w:rPr>
      <w:rFonts w:ascii="Century Gothic" w:hAnsi="Century Gothic"/>
      <w:sz w:val="21"/>
      <w:szCs w:val="21"/>
    </w:rPr>
  </w:style>
  <w:style w:type="paragraph" w:customStyle="1" w:styleId="StyleTitleCoverBold">
    <w:name w:val="Style Title Cover + Bold"/>
    <w:basedOn w:val="Normal"/>
    <w:rsid w:val="00EE5BCD"/>
    <w:pPr>
      <w:pBdr>
        <w:top w:val="single" w:sz="24" w:space="1" w:color="auto"/>
      </w:pBdr>
      <w:tabs>
        <w:tab w:val="left" w:pos="851"/>
        <w:tab w:val="left" w:pos="1701"/>
        <w:tab w:val="left" w:pos="2552"/>
      </w:tabs>
      <w:autoSpaceDE/>
      <w:autoSpaceDN/>
    </w:pPr>
    <w:rPr>
      <w:rFonts w:eastAsia="Times New Roman" w:cs="Times New Roman"/>
      <w:b/>
      <w:bCs/>
      <w:sz w:val="32"/>
      <w:szCs w:val="32"/>
    </w:rPr>
  </w:style>
  <w:style w:type="paragraph" w:styleId="TOC1">
    <w:name w:val="toc 1"/>
    <w:basedOn w:val="Normal"/>
    <w:next w:val="Normal"/>
    <w:uiPriority w:val="39"/>
    <w:unhideWhenUsed/>
    <w:rsid w:val="00355418"/>
    <w:pPr>
      <w:tabs>
        <w:tab w:val="right" w:leader="dot" w:pos="9071"/>
      </w:tabs>
      <w:spacing w:before="120" w:after="120"/>
      <w:ind w:left="850" w:right="283" w:hanging="850"/>
      <w:jc w:val="left"/>
      <w:outlineLvl w:val="0"/>
    </w:pPr>
    <w:rPr>
      <w:b/>
      <w:caps/>
    </w:rPr>
  </w:style>
  <w:style w:type="paragraph" w:styleId="TOC2">
    <w:name w:val="toc 2"/>
    <w:basedOn w:val="Normal"/>
    <w:next w:val="Normal"/>
    <w:uiPriority w:val="39"/>
    <w:semiHidden/>
    <w:unhideWhenUsed/>
    <w:rsid w:val="00355418"/>
    <w:pPr>
      <w:tabs>
        <w:tab w:val="right" w:leader="dot" w:pos="9071"/>
      </w:tabs>
      <w:spacing w:after="0"/>
      <w:ind w:left="1701" w:right="283" w:hanging="850"/>
      <w:jc w:val="left"/>
      <w:outlineLvl w:val="0"/>
    </w:pPr>
  </w:style>
  <w:style w:type="paragraph" w:styleId="TOC8">
    <w:name w:val="toc 8"/>
    <w:basedOn w:val="Normal"/>
    <w:next w:val="Normal"/>
    <w:uiPriority w:val="39"/>
    <w:semiHidden/>
    <w:unhideWhenUsed/>
    <w:rsid w:val="00355418"/>
    <w:pPr>
      <w:tabs>
        <w:tab w:val="right" w:leader="dot" w:pos="9071"/>
      </w:tabs>
      <w:spacing w:before="120" w:after="120"/>
      <w:ind w:left="850" w:right="283" w:hanging="850"/>
      <w:jc w:val="left"/>
      <w:outlineLvl w:val="0"/>
    </w:pPr>
    <w:rPr>
      <w:b/>
      <w:caps/>
    </w:rPr>
  </w:style>
  <w:style w:type="paragraph" w:styleId="TOC9">
    <w:name w:val="toc 9"/>
    <w:basedOn w:val="Normal"/>
    <w:next w:val="Normal"/>
    <w:uiPriority w:val="39"/>
    <w:semiHidden/>
    <w:unhideWhenUsed/>
    <w:rsid w:val="00355418"/>
    <w:pPr>
      <w:tabs>
        <w:tab w:val="right" w:leader="dot" w:pos="9071"/>
      </w:tabs>
      <w:spacing w:before="120" w:after="120"/>
      <w:ind w:left="850" w:right="283" w:hanging="850"/>
      <w:jc w:val="left"/>
      <w:outlineLvl w:val="0"/>
    </w:pPr>
    <w:rPr>
      <w:b/>
      <w:caps/>
    </w:rPr>
  </w:style>
  <w:style w:type="character" w:styleId="Hyperlink">
    <w:name w:val="Hyperlink"/>
    <w:basedOn w:val="DefaultParagraphFont"/>
    <w:uiPriority w:val="99"/>
    <w:unhideWhenUsed/>
    <w:rsid w:val="00EE5BCD"/>
    <w:rPr>
      <w:color w:val="0000FF" w:themeColor="hyperlink"/>
      <w:u w:val="single"/>
    </w:rPr>
  </w:style>
  <w:style w:type="character" w:customStyle="1" w:styleId="BodyTextChar">
    <w:name w:val="Body Text Char"/>
    <w:basedOn w:val="DefaultParagraphFont"/>
    <w:link w:val="BodyText"/>
    <w:uiPriority w:val="99"/>
    <w:rsid w:val="00EE5BCD"/>
    <w:rPr>
      <w:rFonts w:ascii="Century Gothic" w:eastAsia="Arial" w:hAnsi="Century Gothic" w:cs="Arial"/>
      <w:sz w:val="21"/>
      <w:szCs w:val="20"/>
      <w:lang w:val="en-AU"/>
    </w:rPr>
  </w:style>
  <w:style w:type="table" w:styleId="TableGrid">
    <w:name w:val="Table Grid"/>
    <w:basedOn w:val="TableNormal"/>
    <w:uiPriority w:val="59"/>
    <w:rsid w:val="0028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ECD"/>
    <w:rPr>
      <w:sz w:val="16"/>
      <w:szCs w:val="16"/>
    </w:rPr>
  </w:style>
  <w:style w:type="paragraph" w:styleId="CommentText">
    <w:name w:val="annotation text"/>
    <w:basedOn w:val="Normal"/>
    <w:link w:val="CommentTextChar"/>
    <w:uiPriority w:val="99"/>
    <w:unhideWhenUsed/>
    <w:rsid w:val="00DB0ECD"/>
    <w:rPr>
      <w:sz w:val="20"/>
      <w:szCs w:val="20"/>
    </w:rPr>
  </w:style>
  <w:style w:type="character" w:customStyle="1" w:styleId="CommentTextChar">
    <w:name w:val="Comment Text Char"/>
    <w:basedOn w:val="DefaultParagraphFont"/>
    <w:link w:val="CommentText"/>
    <w:uiPriority w:val="99"/>
    <w:rsid w:val="00DB0ECD"/>
    <w:rPr>
      <w:rFonts w:ascii="Century Gothic" w:eastAsia="Arial" w:hAnsi="Century Gothic" w:cs="Arial"/>
      <w:sz w:val="20"/>
      <w:szCs w:val="20"/>
      <w:lang w:val="en-AU"/>
    </w:rPr>
  </w:style>
  <w:style w:type="paragraph" w:styleId="CommentSubject">
    <w:name w:val="annotation subject"/>
    <w:basedOn w:val="CommentText"/>
    <w:next w:val="CommentText"/>
    <w:link w:val="CommentSubjectChar"/>
    <w:uiPriority w:val="99"/>
    <w:semiHidden/>
    <w:unhideWhenUsed/>
    <w:rsid w:val="00DB0ECD"/>
    <w:rPr>
      <w:b/>
      <w:bCs/>
    </w:rPr>
  </w:style>
  <w:style w:type="character" w:customStyle="1" w:styleId="CommentSubjectChar">
    <w:name w:val="Comment Subject Char"/>
    <w:basedOn w:val="CommentTextChar"/>
    <w:link w:val="CommentSubject"/>
    <w:uiPriority w:val="99"/>
    <w:semiHidden/>
    <w:rsid w:val="00DB0ECD"/>
    <w:rPr>
      <w:rFonts w:ascii="Century Gothic" w:eastAsia="Arial" w:hAnsi="Century Gothic" w:cs="Arial"/>
      <w:b/>
      <w:bCs/>
      <w:sz w:val="20"/>
      <w:szCs w:val="20"/>
      <w:lang w:val="en-AU"/>
    </w:rPr>
  </w:style>
  <w:style w:type="paragraph" w:styleId="Revision">
    <w:name w:val="Revision"/>
    <w:hidden/>
    <w:uiPriority w:val="99"/>
    <w:semiHidden/>
    <w:rsid w:val="007151F1"/>
    <w:pPr>
      <w:widowControl/>
      <w:autoSpaceDE/>
      <w:autoSpaceDN/>
    </w:pPr>
    <w:rPr>
      <w:rFonts w:ascii="Century Gothic" w:eastAsia="Arial" w:hAnsi="Century Gothic" w:cs="Arial"/>
      <w:sz w:val="21"/>
      <w:lang w:val="en-AU"/>
    </w:rPr>
  </w:style>
  <w:style w:type="character" w:styleId="UnresolvedMention">
    <w:name w:val="Unresolved Mention"/>
    <w:basedOn w:val="DefaultParagraphFont"/>
    <w:uiPriority w:val="99"/>
    <w:semiHidden/>
    <w:unhideWhenUsed/>
    <w:rsid w:val="0071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memphasys.com"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nfo@memphasys.com" TargetMode="External" Id="rId9" /><Relationship Type="http://schemas.openxmlformats.org/officeDocument/2006/relationships/header" Target="header3.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r\AppData\Roaming\Microsoft\Templates\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 A C T I V E ! 3 3 3 4 6 8 5 . 2 < / d o c u m e n t i d >  
     < s e n d e r i d > B E N R < / s e n d e r i d >  
     < s e n d e r e m a i l > B R O G E R S @ S T E I N P A G . C O M . A U < / s e n d e r e m a i l >  
     < l a s t m o d i f i e d > 2 0 2 3 - 1 2 - 0 4 T 1 8 : 5 7 : 0 0 . 0 0 0 0 0 0 0 + 0 8 : 0 0 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BF89-BF37-42AB-B552-7B1583A6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4</TotalTime>
  <Pages>4</Pages>
  <Words>1410</Words>
  <Characters>7436</Characters>
  <Application>Microsoft Office Word</Application>
  <DocSecurity>0</DocSecurity>
  <Lines>190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Steinepreis Paganin</dc:creator>
  <cp:lastModifiedBy>Steinepreis Paganin</cp:lastModifiedBy>
  <cp:revision>4</cp:revision>
  <dcterms:created xsi:type="dcterms:W3CDTF">2023-11-30T01:47:00Z</dcterms:created>
  <dcterms:modified xsi:type="dcterms:W3CDTF">2023-12-04T10:57:00Z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2021-09-29T00:00:00Z</vt:filetime>
  </property>
</Properties>
</file>